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3FBD" w14:textId="77777777" w:rsidR="000E55E2" w:rsidRPr="00327556" w:rsidRDefault="000E55E2" w:rsidP="000E55E2">
      <w:pPr>
        <w:pBdr>
          <w:top w:val="single" w:sz="4" w:space="1" w:color="auto"/>
        </w:pBdr>
        <w:spacing w:after="0"/>
        <w:jc w:val="center"/>
        <w:rPr>
          <w:rFonts w:ascii="Palatino Linotype" w:hAnsi="Palatino Linotype" w:cs="Times New Roman"/>
          <w:b/>
          <w:bCs/>
          <w:sz w:val="16"/>
          <w:szCs w:val="16"/>
          <w:lang w:val="en-US"/>
        </w:rPr>
      </w:pPr>
    </w:p>
    <w:p w14:paraId="501F5DAD" w14:textId="0598F981" w:rsidR="000E55E2" w:rsidRPr="00E566CA" w:rsidRDefault="000E55E2" w:rsidP="00EE0E17">
      <w:pPr>
        <w:spacing w:after="0" w:line="276" w:lineRule="auto"/>
        <w:jc w:val="center"/>
        <w:rPr>
          <w:rFonts w:ascii="Noto Serif" w:hAnsi="Noto Serif" w:cs="Noto Serif"/>
          <w:b/>
          <w:bCs/>
          <w:sz w:val="20"/>
          <w:szCs w:val="20"/>
          <w:lang w:val="en-US"/>
        </w:rPr>
      </w:pPr>
      <w:r w:rsidRPr="00E566CA">
        <w:rPr>
          <w:rFonts w:ascii="Noto Serif" w:hAnsi="Noto Serif" w:cs="Noto Serif"/>
          <w:b/>
          <w:bCs/>
          <w:sz w:val="20"/>
          <w:szCs w:val="20"/>
          <w:lang w:val="en-US"/>
        </w:rPr>
        <w:t>FINANCIAL CRIMES COMMISSION</w:t>
      </w:r>
      <w:r w:rsidR="00C8664D" w:rsidRPr="00E566CA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 </w:t>
      </w:r>
      <w:r w:rsidR="00B72B85">
        <w:rPr>
          <w:rFonts w:ascii="Noto Serif" w:hAnsi="Noto Serif" w:cs="Noto Serif"/>
          <w:b/>
          <w:bCs/>
          <w:sz w:val="20"/>
          <w:szCs w:val="20"/>
          <w:lang w:val="en-US"/>
        </w:rPr>
        <w:t>(FCC)</w:t>
      </w:r>
    </w:p>
    <w:p w14:paraId="3AE92325" w14:textId="77777777" w:rsidR="000E55E2" w:rsidRPr="00E566CA" w:rsidRDefault="000E55E2" w:rsidP="00EE0E17">
      <w:pPr>
        <w:spacing w:after="0" w:line="276" w:lineRule="auto"/>
        <w:jc w:val="center"/>
        <w:rPr>
          <w:rFonts w:ascii="Noto Serif" w:hAnsi="Noto Serif" w:cs="Noto Serif"/>
          <w:sz w:val="20"/>
          <w:szCs w:val="20"/>
          <w:lang w:val="en-US"/>
        </w:rPr>
      </w:pPr>
    </w:p>
    <w:p w14:paraId="27D5F145" w14:textId="0192D63F" w:rsidR="000E55E2" w:rsidRPr="00E566CA" w:rsidRDefault="000E55E2" w:rsidP="00EE0E17">
      <w:pPr>
        <w:pBdr>
          <w:bottom w:val="single" w:sz="4" w:space="1" w:color="auto"/>
        </w:pBdr>
        <w:spacing w:after="0" w:line="276" w:lineRule="auto"/>
        <w:jc w:val="center"/>
        <w:rPr>
          <w:rFonts w:ascii="Noto Serif" w:hAnsi="Noto Serif" w:cs="Noto Serif"/>
          <w:b/>
          <w:bCs/>
          <w:sz w:val="20"/>
          <w:szCs w:val="20"/>
          <w:lang w:val="en-US"/>
        </w:rPr>
      </w:pPr>
      <w:r w:rsidRPr="00E566CA">
        <w:rPr>
          <w:rFonts w:ascii="Noto Serif" w:hAnsi="Noto Serif" w:cs="Noto Serif"/>
          <w:b/>
          <w:bCs/>
          <w:sz w:val="20"/>
          <w:szCs w:val="20"/>
          <w:lang w:val="en-US"/>
        </w:rPr>
        <w:t>COMMUNIQU</w:t>
      </w:r>
      <w:r w:rsidR="008B42F1" w:rsidRPr="00E566CA">
        <w:rPr>
          <w:rFonts w:ascii="Noto Serif" w:hAnsi="Noto Serif" w:cs="Noto Serif"/>
          <w:b/>
          <w:bCs/>
          <w:sz w:val="20"/>
          <w:szCs w:val="20"/>
          <w:lang w:val="en-US"/>
        </w:rPr>
        <w:t>É</w:t>
      </w:r>
    </w:p>
    <w:p w14:paraId="68397DF4" w14:textId="77777777" w:rsidR="000E55E2" w:rsidRPr="00E566CA" w:rsidRDefault="000E55E2" w:rsidP="00EE0E17">
      <w:pPr>
        <w:pBdr>
          <w:bottom w:val="single" w:sz="4" w:space="1" w:color="auto"/>
        </w:pBdr>
        <w:spacing w:after="0" w:line="276" w:lineRule="auto"/>
        <w:jc w:val="center"/>
        <w:rPr>
          <w:rFonts w:ascii="Noto Serif" w:hAnsi="Noto Serif" w:cs="Noto Serif"/>
          <w:b/>
          <w:bCs/>
          <w:sz w:val="20"/>
          <w:szCs w:val="20"/>
          <w:lang w:val="en-US"/>
        </w:rPr>
      </w:pPr>
    </w:p>
    <w:p w14:paraId="6042AD6A" w14:textId="537E3D09" w:rsidR="000E55E2" w:rsidRPr="00E566CA" w:rsidRDefault="00C8664D" w:rsidP="00EE0E17">
      <w:pPr>
        <w:pBdr>
          <w:bottom w:val="single" w:sz="4" w:space="1" w:color="auto"/>
        </w:pBdr>
        <w:spacing w:after="0" w:line="276" w:lineRule="auto"/>
        <w:jc w:val="center"/>
        <w:rPr>
          <w:rFonts w:ascii="Noto Serif" w:hAnsi="Noto Serif" w:cs="Noto Serif"/>
          <w:b/>
          <w:bCs/>
          <w:sz w:val="20"/>
          <w:szCs w:val="20"/>
          <w:lang w:val="en-US"/>
        </w:rPr>
      </w:pPr>
      <w:r w:rsidRPr="00E566CA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OBLIGATION TO </w:t>
      </w:r>
      <w:r w:rsidR="00B72B85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SUBMIT A DECLARATION OF ASSETS PURSUANT TO </w:t>
      </w:r>
      <w:r w:rsidRPr="00E566CA">
        <w:rPr>
          <w:rFonts w:ascii="Noto Serif" w:hAnsi="Noto Serif" w:cs="Noto Serif"/>
          <w:b/>
          <w:bCs/>
          <w:sz w:val="20"/>
          <w:szCs w:val="20"/>
          <w:lang w:val="en-US"/>
        </w:rPr>
        <w:t>THE DECLARATION OF ASSETS ACT 2018</w:t>
      </w:r>
      <w:r w:rsidR="00B72B85">
        <w:rPr>
          <w:rFonts w:ascii="Noto Serif" w:hAnsi="Noto Serif" w:cs="Noto Serif"/>
          <w:b/>
          <w:bCs/>
          <w:sz w:val="20"/>
          <w:szCs w:val="20"/>
          <w:lang w:val="en-US"/>
        </w:rPr>
        <w:t>, AS AMENDED,</w:t>
      </w:r>
      <w:r w:rsidR="00162C4E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 FOLLOWING THE DISSOLUTION OF </w:t>
      </w:r>
      <w:r w:rsidR="000B7CD6">
        <w:rPr>
          <w:rFonts w:ascii="Noto Serif" w:hAnsi="Noto Serif" w:cs="Noto Serif"/>
          <w:b/>
          <w:bCs/>
          <w:sz w:val="20"/>
          <w:szCs w:val="20"/>
          <w:lang w:val="en-US"/>
        </w:rPr>
        <w:t>THE NATIONAL ASSEMBLY</w:t>
      </w:r>
    </w:p>
    <w:p w14:paraId="00883AAB" w14:textId="77777777" w:rsidR="000E55E2" w:rsidRPr="00CE70C5" w:rsidRDefault="000E55E2" w:rsidP="00EE0E17">
      <w:pPr>
        <w:spacing w:line="276" w:lineRule="auto"/>
        <w:rPr>
          <w:rFonts w:ascii="Noto Serif" w:hAnsi="Noto Serif" w:cs="Noto Serif"/>
          <w:lang w:val="en-US"/>
        </w:rPr>
      </w:pPr>
    </w:p>
    <w:p w14:paraId="3288F90A" w14:textId="26C4BDBB" w:rsidR="00F6675B" w:rsidRDefault="002438DC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Following</w:t>
      </w:r>
      <w:r w:rsidR="00C8664D" w:rsidRPr="0029612C">
        <w:rPr>
          <w:rFonts w:ascii="Noto Serif" w:hAnsi="Noto Serif" w:cs="Noto Serif"/>
          <w:sz w:val="20"/>
          <w:szCs w:val="20"/>
          <w:lang w:val="en-US"/>
        </w:rPr>
        <w:t xml:space="preserve"> the dissolution of the National Assembly on 04</w:t>
      </w:r>
      <w:r w:rsidR="00723DAD" w:rsidRPr="0029612C">
        <w:rPr>
          <w:rFonts w:ascii="Noto Serif" w:hAnsi="Noto Serif" w:cs="Noto Serif"/>
          <w:sz w:val="20"/>
          <w:szCs w:val="20"/>
          <w:lang w:val="en-US"/>
        </w:rPr>
        <w:t xml:space="preserve"> October</w:t>
      </w:r>
      <w:r w:rsidR="00C8664D" w:rsidRPr="0029612C">
        <w:rPr>
          <w:rFonts w:ascii="Noto Serif" w:hAnsi="Noto Serif" w:cs="Noto Serif"/>
          <w:sz w:val="20"/>
          <w:szCs w:val="20"/>
          <w:lang w:val="en-US"/>
        </w:rPr>
        <w:t xml:space="preserve"> 2024</w:t>
      </w:r>
      <w:r w:rsidR="003B288B">
        <w:rPr>
          <w:rFonts w:ascii="Noto Serif" w:hAnsi="Noto Serif" w:cs="Noto Serif"/>
          <w:sz w:val="20"/>
          <w:szCs w:val="20"/>
          <w:lang w:val="en-US"/>
        </w:rPr>
        <w:t>,</w:t>
      </w:r>
      <w:r w:rsidR="00F6675B">
        <w:rPr>
          <w:rFonts w:ascii="Noto Serif" w:hAnsi="Noto Serif" w:cs="Noto Serif"/>
          <w:sz w:val="20"/>
          <w:szCs w:val="20"/>
          <w:lang w:val="en-US"/>
        </w:rPr>
        <w:t xml:space="preserve"> </w:t>
      </w:r>
      <w:r w:rsidR="00576761" w:rsidRPr="0029612C">
        <w:rPr>
          <w:rFonts w:ascii="Noto Serif" w:hAnsi="Noto Serif" w:cs="Noto Serif"/>
          <w:sz w:val="20"/>
          <w:szCs w:val="20"/>
          <w:lang w:val="en-US"/>
        </w:rPr>
        <w:t xml:space="preserve">outgoing </w:t>
      </w:r>
      <w:r w:rsidR="00891D59" w:rsidRPr="0029612C">
        <w:rPr>
          <w:rFonts w:ascii="Noto Serif" w:hAnsi="Noto Serif" w:cs="Noto Serif"/>
          <w:sz w:val="20"/>
          <w:szCs w:val="20"/>
          <w:lang w:val="en-US"/>
        </w:rPr>
        <w:t>member</w:t>
      </w:r>
      <w:r w:rsidR="00891D59">
        <w:rPr>
          <w:rFonts w:ascii="Noto Serif" w:hAnsi="Noto Serif" w:cs="Noto Serif"/>
          <w:sz w:val="20"/>
          <w:szCs w:val="20"/>
          <w:lang w:val="en-US"/>
        </w:rPr>
        <w:t>s</w:t>
      </w:r>
      <w:r w:rsidR="006A2933" w:rsidRPr="0029612C">
        <w:rPr>
          <w:rFonts w:ascii="Noto Serif" w:hAnsi="Noto Serif" w:cs="Noto Serif"/>
          <w:sz w:val="20"/>
          <w:szCs w:val="20"/>
          <w:lang w:val="en-US"/>
        </w:rPr>
        <w:t xml:space="preserve"> of the National Assembly</w:t>
      </w:r>
      <w:r>
        <w:rPr>
          <w:rFonts w:ascii="Noto Serif" w:hAnsi="Noto Serif" w:cs="Noto Serif"/>
          <w:sz w:val="20"/>
          <w:szCs w:val="20"/>
          <w:lang w:val="en-US"/>
        </w:rPr>
        <w:t>,</w:t>
      </w:r>
      <w:r w:rsidR="00576761" w:rsidRPr="0029612C">
        <w:rPr>
          <w:rFonts w:ascii="Noto Serif" w:hAnsi="Noto Serif" w:cs="Noto Serif"/>
          <w:sz w:val="20"/>
          <w:szCs w:val="20"/>
          <w:lang w:val="en-US"/>
        </w:rPr>
        <w:t xml:space="preserve"> </w:t>
      </w:r>
      <w:r w:rsidR="00891D59">
        <w:rPr>
          <w:rFonts w:ascii="Noto Serif" w:hAnsi="Noto Serif" w:cs="Noto Serif"/>
          <w:sz w:val="20"/>
          <w:szCs w:val="20"/>
          <w:lang w:val="en-US"/>
        </w:rPr>
        <w:t xml:space="preserve">are </w:t>
      </w:r>
      <w:r w:rsidR="0046083F">
        <w:rPr>
          <w:rFonts w:ascii="Noto Serif" w:hAnsi="Noto Serif" w:cs="Noto Serif"/>
          <w:sz w:val="20"/>
          <w:szCs w:val="20"/>
          <w:lang w:val="en-US"/>
        </w:rPr>
        <w:t xml:space="preserve">hereby </w:t>
      </w:r>
      <w:r w:rsidR="00B72B85">
        <w:rPr>
          <w:rFonts w:ascii="Noto Serif" w:hAnsi="Noto Serif" w:cs="Noto Serif"/>
          <w:sz w:val="20"/>
          <w:szCs w:val="20"/>
          <w:lang w:val="en-US"/>
        </w:rPr>
        <w:t>notified</w:t>
      </w:r>
      <w:r w:rsidR="00F6675B">
        <w:rPr>
          <w:rFonts w:ascii="Noto Serif" w:hAnsi="Noto Serif" w:cs="Noto Serif"/>
          <w:sz w:val="20"/>
          <w:szCs w:val="20"/>
          <w:lang w:val="en-US"/>
        </w:rPr>
        <w:t xml:space="preserve"> of </w:t>
      </w:r>
      <w:r w:rsidR="00891D59">
        <w:rPr>
          <w:rFonts w:ascii="Noto Serif" w:hAnsi="Noto Serif" w:cs="Noto Serif"/>
          <w:sz w:val="20"/>
          <w:szCs w:val="20"/>
          <w:lang w:val="en-US"/>
        </w:rPr>
        <w:t>their</w:t>
      </w:r>
      <w:r w:rsidR="006A2933" w:rsidRPr="0029612C">
        <w:rPr>
          <w:rFonts w:ascii="Noto Serif" w:hAnsi="Noto Serif" w:cs="Noto Serif"/>
          <w:sz w:val="20"/>
          <w:szCs w:val="20"/>
          <w:lang w:val="en-US"/>
        </w:rPr>
        <w:t xml:space="preserve"> obligation</w:t>
      </w:r>
      <w:r w:rsidR="00F6675B">
        <w:rPr>
          <w:rFonts w:ascii="Noto Serif" w:hAnsi="Noto Serif" w:cs="Noto Serif"/>
          <w:sz w:val="20"/>
          <w:szCs w:val="20"/>
          <w:lang w:val="en-US"/>
        </w:rPr>
        <w:t>s</w:t>
      </w:r>
      <w:r w:rsidR="006A2933" w:rsidRPr="0029612C">
        <w:rPr>
          <w:rFonts w:ascii="Noto Serif" w:hAnsi="Noto Serif" w:cs="Noto Serif"/>
          <w:sz w:val="20"/>
          <w:szCs w:val="20"/>
          <w:lang w:val="en-US"/>
        </w:rPr>
        <w:t xml:space="preserve"> under </w:t>
      </w:r>
      <w:r w:rsidR="006A2933" w:rsidRPr="00654F92">
        <w:rPr>
          <w:rFonts w:ascii="Noto Serif" w:hAnsi="Noto Serif" w:cs="Noto Serif"/>
          <w:sz w:val="20"/>
          <w:szCs w:val="20"/>
          <w:lang w:val="en-US"/>
        </w:rPr>
        <w:t xml:space="preserve">section </w:t>
      </w:r>
      <w:r w:rsidR="006A2933" w:rsidRPr="00A6616F">
        <w:rPr>
          <w:rFonts w:ascii="Noto Serif" w:hAnsi="Noto Serif" w:cs="Noto Serif"/>
          <w:sz w:val="20"/>
          <w:szCs w:val="20"/>
          <w:lang w:val="en-US"/>
        </w:rPr>
        <w:t>4(1)(c)</w:t>
      </w:r>
      <w:r w:rsidR="006A2933" w:rsidRPr="0029612C">
        <w:rPr>
          <w:rFonts w:ascii="Noto Serif" w:hAnsi="Noto Serif" w:cs="Noto Serif"/>
          <w:sz w:val="20"/>
          <w:szCs w:val="20"/>
          <w:lang w:val="en-US"/>
        </w:rPr>
        <w:t xml:space="preserve"> of the D</w:t>
      </w:r>
      <w:r w:rsidR="00654F92">
        <w:rPr>
          <w:rFonts w:ascii="Noto Serif" w:hAnsi="Noto Serif" w:cs="Noto Serif"/>
          <w:sz w:val="20"/>
          <w:szCs w:val="20"/>
          <w:lang w:val="en-US"/>
        </w:rPr>
        <w:t xml:space="preserve">eclaration of Assets </w:t>
      </w:r>
      <w:r w:rsidR="00A6616F">
        <w:rPr>
          <w:rFonts w:ascii="Noto Serif" w:hAnsi="Noto Serif" w:cs="Noto Serif"/>
          <w:sz w:val="20"/>
          <w:szCs w:val="20"/>
          <w:lang w:val="en-US"/>
        </w:rPr>
        <w:t>(</w:t>
      </w:r>
      <w:r w:rsidR="00A6616F" w:rsidRPr="00A6616F">
        <w:rPr>
          <w:rFonts w:ascii="Noto Serif" w:hAnsi="Noto Serif" w:cs="Noto Serif"/>
          <w:b/>
          <w:bCs/>
          <w:sz w:val="20"/>
          <w:szCs w:val="20"/>
          <w:lang w:val="en-US"/>
        </w:rPr>
        <w:t>“DOA”</w:t>
      </w:r>
      <w:r w:rsidR="00A6616F">
        <w:rPr>
          <w:rFonts w:ascii="Noto Serif" w:hAnsi="Noto Serif" w:cs="Noto Serif"/>
          <w:sz w:val="20"/>
          <w:szCs w:val="20"/>
          <w:lang w:val="en-US"/>
        </w:rPr>
        <w:t xml:space="preserve">) </w:t>
      </w:r>
      <w:r w:rsidR="006A2933" w:rsidRPr="0029612C">
        <w:rPr>
          <w:rFonts w:ascii="Noto Serif" w:hAnsi="Noto Serif" w:cs="Noto Serif"/>
          <w:sz w:val="20"/>
          <w:szCs w:val="20"/>
          <w:lang w:val="en-US"/>
        </w:rPr>
        <w:t xml:space="preserve">Act 2018, as amended, to make a declaration of </w:t>
      </w:r>
      <w:r w:rsidR="00891D59">
        <w:rPr>
          <w:rFonts w:ascii="Noto Serif" w:hAnsi="Noto Serif" w:cs="Noto Serif"/>
          <w:sz w:val="20"/>
          <w:szCs w:val="20"/>
          <w:lang w:val="en-US"/>
        </w:rPr>
        <w:t>their</w:t>
      </w:r>
      <w:r w:rsidR="006A2933" w:rsidRPr="0029612C">
        <w:rPr>
          <w:rFonts w:ascii="Noto Serif" w:hAnsi="Noto Serif" w:cs="Noto Serif"/>
          <w:sz w:val="20"/>
          <w:szCs w:val="20"/>
          <w:lang w:val="en-US"/>
        </w:rPr>
        <w:t xml:space="preserve"> assets and liabilities with </w:t>
      </w:r>
      <w:r w:rsidR="005F0EBC" w:rsidRPr="0029612C">
        <w:rPr>
          <w:rFonts w:ascii="Noto Serif" w:hAnsi="Noto Serif" w:cs="Noto Serif"/>
          <w:sz w:val="20"/>
          <w:szCs w:val="20"/>
          <w:lang w:val="en-US"/>
        </w:rPr>
        <w:t xml:space="preserve">the </w:t>
      </w:r>
      <w:r w:rsidR="00654F92">
        <w:rPr>
          <w:rFonts w:ascii="Noto Serif" w:hAnsi="Noto Serif" w:cs="Noto Serif"/>
          <w:sz w:val="20"/>
          <w:szCs w:val="20"/>
          <w:lang w:val="en-US"/>
        </w:rPr>
        <w:t>Financial Crimes Commission (</w:t>
      </w:r>
      <w:r w:rsidR="00654F92" w:rsidRPr="00A6616F">
        <w:rPr>
          <w:rFonts w:ascii="Noto Serif" w:hAnsi="Noto Serif" w:cs="Noto Serif"/>
          <w:b/>
          <w:bCs/>
          <w:sz w:val="20"/>
          <w:szCs w:val="20"/>
          <w:lang w:val="en-US"/>
        </w:rPr>
        <w:t>“</w:t>
      </w:r>
      <w:r w:rsidR="005F0EBC" w:rsidRPr="00A6616F">
        <w:rPr>
          <w:rFonts w:ascii="Noto Serif" w:hAnsi="Noto Serif" w:cs="Noto Serif"/>
          <w:b/>
          <w:bCs/>
          <w:sz w:val="20"/>
          <w:szCs w:val="20"/>
          <w:lang w:val="en-US"/>
        </w:rPr>
        <w:t>FCC</w:t>
      </w:r>
      <w:r w:rsidR="00654F92" w:rsidRPr="00A6616F">
        <w:rPr>
          <w:rFonts w:ascii="Noto Serif" w:hAnsi="Noto Serif" w:cs="Noto Serif"/>
          <w:b/>
          <w:bCs/>
          <w:sz w:val="20"/>
          <w:szCs w:val="20"/>
          <w:lang w:val="en-US"/>
        </w:rPr>
        <w:t>”</w:t>
      </w:r>
      <w:r w:rsidR="00654F92">
        <w:rPr>
          <w:rFonts w:ascii="Noto Serif" w:hAnsi="Noto Serif" w:cs="Noto Serif"/>
          <w:sz w:val="20"/>
          <w:szCs w:val="20"/>
          <w:lang w:val="en-US"/>
        </w:rPr>
        <w:t xml:space="preserve">). </w:t>
      </w:r>
    </w:p>
    <w:p w14:paraId="4DE6048F" w14:textId="77777777" w:rsidR="00F6675B" w:rsidRDefault="00F6675B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</w:p>
    <w:p w14:paraId="0391BAC0" w14:textId="18DAFE65" w:rsidR="00413C65" w:rsidRDefault="00413C65" w:rsidP="00413C65">
      <w:pPr>
        <w:spacing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In this respect, all outgoing members of the National Assembly shall:</w:t>
      </w:r>
    </w:p>
    <w:p w14:paraId="08B60E60" w14:textId="1B93E44E" w:rsidR="00413C65" w:rsidRDefault="00413C65" w:rsidP="00413C6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 w:rsidRPr="00EE0E17">
        <w:rPr>
          <w:rFonts w:ascii="Noto Serif" w:hAnsi="Noto Serif" w:cs="Noto Serif"/>
          <w:sz w:val="20"/>
          <w:szCs w:val="20"/>
          <w:lang w:val="en-US"/>
        </w:rPr>
        <w:t xml:space="preserve">Submit their </w:t>
      </w:r>
      <w:r w:rsidRPr="00EE0E17">
        <w:rPr>
          <w:rFonts w:ascii="Noto Serif" w:hAnsi="Noto Serif" w:cs="Noto Serif"/>
          <w:b/>
          <w:bCs/>
          <w:sz w:val="20"/>
          <w:szCs w:val="20"/>
          <w:lang w:val="en-US"/>
        </w:rPr>
        <w:t>First Schedule</w:t>
      </w:r>
      <w:r w:rsidRPr="00EE0E17">
        <w:rPr>
          <w:rFonts w:ascii="Noto Serif" w:hAnsi="Noto Serif" w:cs="Noto Serif"/>
          <w:sz w:val="20"/>
          <w:szCs w:val="20"/>
          <w:lang w:val="en-US"/>
        </w:rPr>
        <w:t xml:space="preserve"> DOA form, by way of an affidavit duly </w:t>
      </w:r>
      <w:r w:rsidRPr="00FA7FAC">
        <w:rPr>
          <w:rFonts w:ascii="Noto Serif" w:hAnsi="Noto Serif" w:cs="Noto Serif"/>
          <w:sz w:val="20"/>
          <w:szCs w:val="20"/>
          <w:lang w:val="en-US"/>
        </w:rPr>
        <w:t>sworn before the Supreme Court of Mauritius</w:t>
      </w:r>
      <w:r w:rsidR="00B73F50">
        <w:rPr>
          <w:rFonts w:ascii="Noto Serif" w:hAnsi="Noto Serif" w:cs="Noto Serif"/>
          <w:sz w:val="20"/>
          <w:szCs w:val="20"/>
          <w:lang w:val="en-US"/>
        </w:rPr>
        <w:t>;</w:t>
      </w:r>
    </w:p>
    <w:p w14:paraId="4B523C4F" w14:textId="77777777" w:rsidR="00413C65" w:rsidRPr="00EE0E17" w:rsidRDefault="00413C65" w:rsidP="00413C6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 xml:space="preserve">Submit their </w:t>
      </w:r>
      <w:r w:rsidRPr="00EE0E17">
        <w:rPr>
          <w:rFonts w:ascii="Noto Serif" w:hAnsi="Noto Serif" w:cs="Noto Serif"/>
          <w:sz w:val="20"/>
          <w:szCs w:val="20"/>
          <w:lang w:val="en-US"/>
        </w:rPr>
        <w:t>declarations</w:t>
      </w:r>
      <w:r w:rsidRPr="00EE0E17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 not later than 30 days, after 04 October 2024</w:t>
      </w:r>
      <w:r w:rsidRPr="00EE0E17">
        <w:rPr>
          <w:rFonts w:ascii="Noto Serif" w:hAnsi="Noto Serif" w:cs="Noto Serif"/>
          <w:sz w:val="20"/>
          <w:szCs w:val="20"/>
          <w:lang w:val="en-US"/>
        </w:rPr>
        <w:t>;</w:t>
      </w:r>
      <w:r>
        <w:rPr>
          <w:rFonts w:ascii="Noto Serif" w:hAnsi="Noto Serif" w:cs="Noto Serif"/>
          <w:sz w:val="20"/>
          <w:szCs w:val="20"/>
          <w:lang w:val="en-US"/>
        </w:rPr>
        <w:t xml:space="preserve"> and</w:t>
      </w:r>
    </w:p>
    <w:p w14:paraId="2CE08ED2" w14:textId="4A5444D1" w:rsidR="00413C65" w:rsidRPr="00EE0E17" w:rsidRDefault="009C1900" w:rsidP="00413C6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D</w:t>
      </w:r>
      <w:r w:rsidR="00413C65">
        <w:rPr>
          <w:rFonts w:ascii="Noto Serif" w:hAnsi="Noto Serif" w:cs="Noto Serif"/>
          <w:sz w:val="20"/>
          <w:szCs w:val="20"/>
          <w:lang w:val="en-US"/>
        </w:rPr>
        <w:t>eclare</w:t>
      </w:r>
      <w:r w:rsidR="00413C65" w:rsidRPr="00EE0E17">
        <w:rPr>
          <w:rFonts w:ascii="Noto Serif" w:hAnsi="Noto Serif" w:cs="Noto Serif"/>
          <w:sz w:val="20"/>
          <w:szCs w:val="20"/>
          <w:lang w:val="en-US"/>
        </w:rPr>
        <w:t xml:space="preserve"> the assets and liabilities of their spouse and minor children</w:t>
      </w:r>
      <w:r w:rsidR="00413C65">
        <w:rPr>
          <w:rFonts w:ascii="Noto Serif" w:hAnsi="Noto Serif" w:cs="Noto Serif"/>
          <w:sz w:val="20"/>
          <w:szCs w:val="20"/>
          <w:lang w:val="en-US"/>
        </w:rPr>
        <w:t>.</w:t>
      </w:r>
    </w:p>
    <w:p w14:paraId="3DD3EC40" w14:textId="77777777" w:rsidR="00413C65" w:rsidRPr="0029612C" w:rsidRDefault="00413C65" w:rsidP="00413C65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</w:p>
    <w:p w14:paraId="061B248D" w14:textId="77777777" w:rsidR="00413C65" w:rsidRDefault="00413C65" w:rsidP="00413C65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 w:rsidRPr="0029612C">
        <w:rPr>
          <w:rFonts w:ascii="Noto Serif" w:hAnsi="Noto Serif" w:cs="Noto Serif"/>
          <w:sz w:val="20"/>
          <w:szCs w:val="20"/>
          <w:lang w:val="en-US"/>
        </w:rPr>
        <w:t xml:space="preserve">The </w:t>
      </w:r>
      <w:r>
        <w:rPr>
          <w:rFonts w:ascii="Noto Serif" w:hAnsi="Noto Serif" w:cs="Noto Serif"/>
          <w:sz w:val="20"/>
          <w:szCs w:val="20"/>
          <w:lang w:val="en-US"/>
        </w:rPr>
        <w:t xml:space="preserve">prescribed First Schedule DOA form is </w:t>
      </w:r>
      <w:r w:rsidRPr="0029612C">
        <w:rPr>
          <w:rFonts w:ascii="Noto Serif" w:hAnsi="Noto Serif" w:cs="Noto Serif"/>
          <w:sz w:val="20"/>
          <w:szCs w:val="20"/>
          <w:lang w:val="en-US"/>
        </w:rPr>
        <w:t xml:space="preserve">available on the website </w:t>
      </w:r>
      <w:r>
        <w:rPr>
          <w:rFonts w:ascii="Noto Serif" w:hAnsi="Noto Serif" w:cs="Noto Serif"/>
          <w:sz w:val="20"/>
          <w:szCs w:val="20"/>
          <w:lang w:val="en-US"/>
        </w:rPr>
        <w:t xml:space="preserve">of the Commission </w:t>
      </w:r>
      <w:r w:rsidRPr="0029612C">
        <w:rPr>
          <w:rFonts w:ascii="Noto Serif" w:hAnsi="Noto Serif" w:cs="Noto Serif"/>
          <w:sz w:val="20"/>
          <w:szCs w:val="20"/>
          <w:lang w:val="en-US"/>
        </w:rPr>
        <w:t xml:space="preserve">at </w:t>
      </w:r>
      <w:hyperlink r:id="rId5" w:history="1">
        <w:r w:rsidRPr="0029612C">
          <w:rPr>
            <w:rStyle w:val="Hyperlink"/>
            <w:rFonts w:ascii="Noto Serif" w:hAnsi="Noto Serif" w:cs="Noto Serif"/>
            <w:sz w:val="20"/>
            <w:szCs w:val="20"/>
            <w:lang w:val="en-US"/>
          </w:rPr>
          <w:t>www.fcc.mu</w:t>
        </w:r>
      </w:hyperlink>
      <w:r>
        <w:rPr>
          <w:rFonts w:ascii="Noto Serif" w:hAnsi="Noto Serif" w:cs="Noto Serif"/>
          <w:sz w:val="20"/>
          <w:szCs w:val="20"/>
          <w:lang w:val="en-US"/>
        </w:rPr>
        <w:t xml:space="preserve">, </w:t>
      </w:r>
      <w:r w:rsidRPr="0029612C">
        <w:rPr>
          <w:rFonts w:ascii="Noto Serif" w:hAnsi="Noto Serif" w:cs="Noto Serif"/>
          <w:sz w:val="20"/>
          <w:szCs w:val="20"/>
          <w:lang w:val="en-US"/>
        </w:rPr>
        <w:t>or</w:t>
      </w:r>
      <w:r>
        <w:rPr>
          <w:rFonts w:ascii="Noto Serif" w:hAnsi="Noto Serif" w:cs="Noto Serif"/>
          <w:sz w:val="20"/>
          <w:szCs w:val="20"/>
          <w:lang w:val="en-US"/>
        </w:rPr>
        <w:t xml:space="preserve"> it</w:t>
      </w:r>
      <w:r w:rsidRPr="0029612C">
        <w:rPr>
          <w:rFonts w:ascii="Noto Serif" w:hAnsi="Noto Serif" w:cs="Noto Serif"/>
          <w:sz w:val="20"/>
          <w:szCs w:val="20"/>
          <w:lang w:val="en-US"/>
        </w:rPr>
        <w:t xml:space="preserve"> may be requested by email on </w:t>
      </w:r>
      <w:hyperlink r:id="rId6" w:history="1">
        <w:r w:rsidRPr="0029612C">
          <w:rPr>
            <w:rStyle w:val="Hyperlink"/>
            <w:rFonts w:ascii="Noto Serif" w:hAnsi="Noto Serif" w:cs="Noto Serif"/>
            <w:sz w:val="20"/>
            <w:szCs w:val="20"/>
            <w:lang w:val="en-US"/>
          </w:rPr>
          <w:t>doa@fcc.mu</w:t>
        </w:r>
      </w:hyperlink>
      <w:r>
        <w:rPr>
          <w:rFonts w:ascii="Noto Serif" w:hAnsi="Noto Serif" w:cs="Noto Serif"/>
          <w:sz w:val="20"/>
          <w:szCs w:val="20"/>
          <w:lang w:val="en-US"/>
        </w:rPr>
        <w:t>.</w:t>
      </w:r>
    </w:p>
    <w:p w14:paraId="260946D8" w14:textId="77777777" w:rsidR="00413C65" w:rsidRDefault="00413C65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</w:p>
    <w:p w14:paraId="040F631C" w14:textId="6A42BFB1" w:rsidR="00553BB1" w:rsidRPr="0029612C" w:rsidRDefault="0046083F" w:rsidP="00EE0E17">
      <w:pPr>
        <w:spacing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With the coming into force of the F</w:t>
      </w:r>
      <w:r w:rsidR="00413C65">
        <w:rPr>
          <w:rFonts w:ascii="Noto Serif" w:hAnsi="Noto Serif" w:cs="Noto Serif"/>
          <w:sz w:val="20"/>
          <w:szCs w:val="20"/>
          <w:lang w:val="en-US"/>
        </w:rPr>
        <w:t xml:space="preserve">inancial </w:t>
      </w:r>
      <w:r>
        <w:rPr>
          <w:rFonts w:ascii="Noto Serif" w:hAnsi="Noto Serif" w:cs="Noto Serif"/>
          <w:sz w:val="20"/>
          <w:szCs w:val="20"/>
          <w:lang w:val="en-US"/>
        </w:rPr>
        <w:t>C</w:t>
      </w:r>
      <w:r w:rsidR="00413C65">
        <w:rPr>
          <w:rFonts w:ascii="Noto Serif" w:hAnsi="Noto Serif" w:cs="Noto Serif"/>
          <w:sz w:val="20"/>
          <w:szCs w:val="20"/>
          <w:lang w:val="en-US"/>
        </w:rPr>
        <w:t xml:space="preserve">rimes </w:t>
      </w:r>
      <w:r>
        <w:rPr>
          <w:rFonts w:ascii="Noto Serif" w:hAnsi="Noto Serif" w:cs="Noto Serif"/>
          <w:sz w:val="20"/>
          <w:szCs w:val="20"/>
          <w:lang w:val="en-US"/>
        </w:rPr>
        <w:t>C</w:t>
      </w:r>
      <w:r w:rsidR="00413C65">
        <w:rPr>
          <w:rFonts w:ascii="Noto Serif" w:hAnsi="Noto Serif" w:cs="Noto Serif"/>
          <w:sz w:val="20"/>
          <w:szCs w:val="20"/>
          <w:lang w:val="en-US"/>
        </w:rPr>
        <w:t>ommission</w:t>
      </w:r>
      <w:r>
        <w:rPr>
          <w:rFonts w:ascii="Noto Serif" w:hAnsi="Noto Serif" w:cs="Noto Serif"/>
          <w:sz w:val="20"/>
          <w:szCs w:val="20"/>
          <w:lang w:val="en-US"/>
        </w:rPr>
        <w:t xml:space="preserve"> Act 2023</w:t>
      </w:r>
      <w:r w:rsidR="00D63350" w:rsidRPr="0029612C">
        <w:rPr>
          <w:rFonts w:ascii="Noto Serif" w:hAnsi="Noto Serif" w:cs="Noto Serif"/>
          <w:sz w:val="20"/>
          <w:szCs w:val="20"/>
          <w:lang w:val="en-US"/>
        </w:rPr>
        <w:t xml:space="preserve">, </w:t>
      </w:r>
      <w:r w:rsidR="00413C65">
        <w:rPr>
          <w:rFonts w:ascii="Noto Serif" w:hAnsi="Noto Serif" w:cs="Noto Serif"/>
          <w:sz w:val="20"/>
          <w:szCs w:val="20"/>
          <w:lang w:val="en-US"/>
        </w:rPr>
        <w:t xml:space="preserve">declarants are required to also make a declaration of the following </w:t>
      </w:r>
      <w:r w:rsidR="00D63350" w:rsidRPr="0029612C">
        <w:rPr>
          <w:rFonts w:ascii="Noto Serif" w:hAnsi="Noto Serif" w:cs="Noto Serif"/>
          <w:sz w:val="20"/>
          <w:szCs w:val="20"/>
          <w:lang w:val="en-US"/>
        </w:rPr>
        <w:t>four new additional assets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>:</w:t>
      </w:r>
    </w:p>
    <w:p w14:paraId="43D6784D" w14:textId="12A848FF" w:rsidR="00553BB1" w:rsidRPr="0029612C" w:rsidRDefault="00E52D8F" w:rsidP="00EE0E17">
      <w:pPr>
        <w:pStyle w:val="ListParagraph"/>
        <w:numPr>
          <w:ilvl w:val="0"/>
          <w:numId w:val="11"/>
        </w:numPr>
        <w:spacing w:after="0" w:line="276" w:lineRule="auto"/>
        <w:ind w:left="567" w:hanging="567"/>
        <w:rPr>
          <w:rFonts w:ascii="Noto Serif" w:hAnsi="Noto Serif" w:cs="Noto Serif"/>
          <w:sz w:val="20"/>
          <w:szCs w:val="20"/>
          <w:lang w:val="en-US"/>
        </w:rPr>
      </w:pPr>
      <w:r w:rsidRPr="0029612C">
        <w:rPr>
          <w:rFonts w:ascii="Noto Serif" w:hAnsi="Noto Serif" w:cs="Noto Serif"/>
          <w:sz w:val="20"/>
          <w:szCs w:val="20"/>
          <w:lang w:val="en-US"/>
        </w:rPr>
        <w:t>G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>old coin</w:t>
      </w:r>
      <w:r w:rsidR="00654F92">
        <w:rPr>
          <w:rFonts w:ascii="Noto Serif" w:hAnsi="Noto Serif" w:cs="Noto Serif"/>
          <w:sz w:val="20"/>
          <w:szCs w:val="20"/>
          <w:lang w:val="en-US"/>
        </w:rPr>
        <w:t>s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 xml:space="preserve"> exceeding 500,000 rupees in value</w:t>
      </w:r>
      <w:r w:rsidR="00F6675B">
        <w:rPr>
          <w:rFonts w:ascii="Noto Serif" w:hAnsi="Noto Serif" w:cs="Noto Serif"/>
          <w:sz w:val="20"/>
          <w:szCs w:val="20"/>
          <w:lang w:val="en-US"/>
        </w:rPr>
        <w:t>;</w:t>
      </w:r>
    </w:p>
    <w:p w14:paraId="1C9D83C2" w14:textId="270A8EE8" w:rsidR="00E52D8F" w:rsidRPr="0029612C" w:rsidRDefault="004A7C75" w:rsidP="00EE0E17">
      <w:pPr>
        <w:pStyle w:val="ListParagraph"/>
        <w:numPr>
          <w:ilvl w:val="0"/>
          <w:numId w:val="11"/>
        </w:numPr>
        <w:spacing w:after="0" w:line="276" w:lineRule="auto"/>
        <w:ind w:left="567" w:hanging="567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Any v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>irtual asset</w:t>
      </w:r>
      <w:r w:rsidR="00F6675B">
        <w:rPr>
          <w:rFonts w:ascii="Noto Serif" w:hAnsi="Noto Serif" w:cs="Noto Serif"/>
          <w:sz w:val="20"/>
          <w:szCs w:val="20"/>
          <w:lang w:val="en-US"/>
        </w:rPr>
        <w:t>;</w:t>
      </w:r>
    </w:p>
    <w:p w14:paraId="6348F431" w14:textId="5B192429" w:rsidR="00E52D8F" w:rsidRPr="0029612C" w:rsidRDefault="004A7C75" w:rsidP="00EE0E17">
      <w:pPr>
        <w:pStyle w:val="ListParagraph"/>
        <w:numPr>
          <w:ilvl w:val="0"/>
          <w:numId w:val="11"/>
        </w:numPr>
        <w:spacing w:after="0" w:line="276" w:lineRule="auto"/>
        <w:ind w:left="567" w:hanging="567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A w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>ork of art exceeding 500,000 rupees in value</w:t>
      </w:r>
      <w:r w:rsidR="00F6675B">
        <w:rPr>
          <w:rFonts w:ascii="Noto Serif" w:hAnsi="Noto Serif" w:cs="Noto Serif"/>
          <w:sz w:val="20"/>
          <w:szCs w:val="20"/>
          <w:lang w:val="en-US"/>
        </w:rPr>
        <w:t>;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 xml:space="preserve"> and </w:t>
      </w:r>
    </w:p>
    <w:p w14:paraId="1DC5991F" w14:textId="42103802" w:rsidR="00553BB1" w:rsidRPr="0029612C" w:rsidRDefault="00E52D8F" w:rsidP="00EE0E17">
      <w:pPr>
        <w:pStyle w:val="ListParagraph"/>
        <w:numPr>
          <w:ilvl w:val="0"/>
          <w:numId w:val="11"/>
        </w:numPr>
        <w:spacing w:after="0" w:line="276" w:lineRule="auto"/>
        <w:ind w:left="567" w:hanging="567"/>
        <w:rPr>
          <w:rFonts w:ascii="Noto Serif" w:hAnsi="Noto Serif" w:cs="Noto Serif"/>
          <w:sz w:val="20"/>
          <w:szCs w:val="20"/>
          <w:lang w:val="en-US"/>
        </w:rPr>
      </w:pPr>
      <w:r w:rsidRPr="0046083F">
        <w:rPr>
          <w:rFonts w:ascii="Noto Serif" w:hAnsi="Noto Serif" w:cs="Noto Serif"/>
          <w:i/>
          <w:iCs/>
          <w:sz w:val="20"/>
          <w:szCs w:val="20"/>
          <w:lang w:val="en-US"/>
        </w:rPr>
        <w:t>W</w:t>
      </w:r>
      <w:r w:rsidR="00553BB1" w:rsidRPr="0046083F">
        <w:rPr>
          <w:rFonts w:ascii="Noto Serif" w:hAnsi="Noto Serif" w:cs="Noto Serif"/>
          <w:i/>
          <w:iCs/>
          <w:sz w:val="20"/>
          <w:szCs w:val="20"/>
          <w:lang w:val="en-US"/>
        </w:rPr>
        <w:t>aqf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 xml:space="preserve"> property dedicated under the </w:t>
      </w:r>
      <w:r w:rsidR="00553BB1" w:rsidRPr="00EE0E17">
        <w:rPr>
          <w:rFonts w:ascii="Noto Serif" w:hAnsi="Noto Serif" w:cs="Noto Serif"/>
          <w:i/>
          <w:iCs/>
          <w:sz w:val="20"/>
          <w:szCs w:val="20"/>
          <w:lang w:val="en-US"/>
        </w:rPr>
        <w:t>Waqf</w:t>
      </w:r>
      <w:r w:rsidR="00553BB1" w:rsidRPr="0029612C">
        <w:rPr>
          <w:rFonts w:ascii="Noto Serif" w:hAnsi="Noto Serif" w:cs="Noto Serif"/>
          <w:sz w:val="20"/>
          <w:szCs w:val="20"/>
          <w:lang w:val="en-US"/>
        </w:rPr>
        <w:t xml:space="preserve"> Act 1941.</w:t>
      </w:r>
    </w:p>
    <w:p w14:paraId="0726EAD7" w14:textId="77777777" w:rsidR="00553BB1" w:rsidRPr="0029612C" w:rsidRDefault="00553BB1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</w:p>
    <w:p w14:paraId="18D78838" w14:textId="6826684D" w:rsidR="00572655" w:rsidRPr="00FA7FAC" w:rsidRDefault="0046083F" w:rsidP="00EE0E17">
      <w:pPr>
        <w:spacing w:after="0" w:line="276" w:lineRule="auto"/>
        <w:jc w:val="both"/>
        <w:rPr>
          <w:rFonts w:ascii="Noto Serif" w:hAnsi="Noto Serif" w:cs="Noto Serif"/>
          <w:strike/>
          <w:sz w:val="20"/>
          <w:szCs w:val="20"/>
          <w:lang w:val="en-US"/>
        </w:rPr>
      </w:pPr>
      <w:r w:rsidRPr="00FA7FAC">
        <w:rPr>
          <w:rFonts w:ascii="Noto Serif" w:hAnsi="Noto Serif" w:cs="Noto Serif"/>
          <w:sz w:val="20"/>
          <w:szCs w:val="20"/>
          <w:lang w:val="en-US"/>
        </w:rPr>
        <w:t xml:space="preserve">In this context, </w:t>
      </w:r>
      <w:r w:rsidR="003B288B" w:rsidRPr="00FA7FAC">
        <w:rPr>
          <w:rFonts w:ascii="Noto Serif" w:hAnsi="Noto Serif" w:cs="Noto Serif"/>
          <w:sz w:val="20"/>
          <w:szCs w:val="20"/>
          <w:lang w:val="en-US"/>
        </w:rPr>
        <w:t xml:space="preserve">all </w:t>
      </w:r>
      <w:r w:rsidR="00D63350" w:rsidRPr="00FA7FAC">
        <w:rPr>
          <w:rFonts w:ascii="Noto Serif" w:hAnsi="Noto Serif" w:cs="Noto Serif"/>
          <w:sz w:val="20"/>
          <w:szCs w:val="20"/>
          <w:lang w:val="en-US"/>
        </w:rPr>
        <w:t>declarants are</w:t>
      </w:r>
      <w:r w:rsidR="00553BB1" w:rsidRPr="00FA7FAC">
        <w:rPr>
          <w:rFonts w:ascii="Noto Serif" w:hAnsi="Noto Serif" w:cs="Noto Serif"/>
          <w:sz w:val="20"/>
          <w:szCs w:val="20"/>
          <w:lang w:val="en-US"/>
        </w:rPr>
        <w:t xml:space="preserve"> </w:t>
      </w:r>
      <w:r w:rsidR="006D5865" w:rsidRPr="00FA7FAC">
        <w:rPr>
          <w:rFonts w:ascii="Noto Serif" w:hAnsi="Noto Serif" w:cs="Noto Serif"/>
          <w:sz w:val="20"/>
          <w:szCs w:val="20"/>
          <w:lang w:val="en-US"/>
        </w:rPr>
        <w:t xml:space="preserve">required </w:t>
      </w:r>
      <w:r w:rsidR="00D63350" w:rsidRPr="00FA7FAC">
        <w:rPr>
          <w:rFonts w:ascii="Noto Serif" w:hAnsi="Noto Serif" w:cs="Noto Serif"/>
          <w:sz w:val="20"/>
          <w:szCs w:val="20"/>
          <w:lang w:val="en-US"/>
        </w:rPr>
        <w:t xml:space="preserve">to </w:t>
      </w:r>
      <w:r w:rsidR="00413C65" w:rsidRPr="00FA7FAC">
        <w:rPr>
          <w:rFonts w:ascii="Noto Serif" w:hAnsi="Noto Serif" w:cs="Noto Serif"/>
          <w:sz w:val="20"/>
          <w:szCs w:val="20"/>
          <w:lang w:val="en-US"/>
        </w:rPr>
        <w:t>make a declaration of the above additional four assets by way of</w:t>
      </w:r>
      <w:r w:rsidR="00A07C90" w:rsidRPr="00FA7FAC">
        <w:rPr>
          <w:rFonts w:ascii="Noto Serif" w:hAnsi="Noto Serif" w:cs="Noto Serif"/>
          <w:sz w:val="20"/>
          <w:szCs w:val="20"/>
          <w:lang w:val="en-US"/>
        </w:rPr>
        <w:t xml:space="preserve"> </w:t>
      </w:r>
      <w:r w:rsidR="00D63350" w:rsidRPr="00FA7FAC">
        <w:rPr>
          <w:rFonts w:ascii="Noto Serif" w:hAnsi="Noto Serif" w:cs="Noto Serif"/>
          <w:sz w:val="20"/>
          <w:szCs w:val="20"/>
          <w:lang w:val="en-US"/>
        </w:rPr>
        <w:t>an</w:t>
      </w:r>
      <w:r w:rsidR="00D63350" w:rsidRPr="00FA7FAC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 </w:t>
      </w:r>
      <w:r w:rsidR="00F6675B" w:rsidRPr="00FA7FAC">
        <w:rPr>
          <w:rFonts w:ascii="Noto Serif" w:hAnsi="Noto Serif" w:cs="Noto Serif"/>
          <w:b/>
          <w:bCs/>
          <w:sz w:val="20"/>
          <w:szCs w:val="20"/>
          <w:lang w:val="en-US"/>
        </w:rPr>
        <w:t>A</w:t>
      </w:r>
      <w:r w:rsidR="00D63350" w:rsidRPr="00FA7FAC">
        <w:rPr>
          <w:rFonts w:ascii="Noto Serif" w:hAnsi="Noto Serif" w:cs="Noto Serif"/>
          <w:b/>
          <w:bCs/>
          <w:sz w:val="20"/>
          <w:szCs w:val="20"/>
          <w:lang w:val="en-US"/>
        </w:rPr>
        <w:t>nnex</w:t>
      </w:r>
      <w:r w:rsidR="00DA252A">
        <w:rPr>
          <w:rFonts w:ascii="Noto Serif" w:hAnsi="Noto Serif" w:cs="Noto Serif"/>
          <w:sz w:val="20"/>
          <w:szCs w:val="20"/>
          <w:lang w:val="en-US"/>
        </w:rPr>
        <w:t>, to the First Schedule DOA form.</w:t>
      </w:r>
    </w:p>
    <w:p w14:paraId="00DE6CE2" w14:textId="77777777" w:rsidR="003B288B" w:rsidRDefault="003B288B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</w:p>
    <w:p w14:paraId="2F0BB785" w14:textId="77777777" w:rsidR="003B288B" w:rsidRDefault="003B288B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 w:rsidRPr="0029612C">
        <w:rPr>
          <w:rFonts w:ascii="Noto Serif" w:hAnsi="Noto Serif" w:cs="Noto Serif"/>
          <w:sz w:val="20"/>
          <w:szCs w:val="20"/>
          <w:lang w:val="en-US"/>
        </w:rPr>
        <w:t xml:space="preserve">Any failure to comply with the statutory deadline, </w:t>
      </w:r>
      <w:r>
        <w:rPr>
          <w:rFonts w:ascii="Noto Serif" w:hAnsi="Noto Serif" w:cs="Noto Serif"/>
          <w:sz w:val="20"/>
          <w:szCs w:val="20"/>
          <w:lang w:val="en-US"/>
        </w:rPr>
        <w:t>shall</w:t>
      </w:r>
      <w:r w:rsidRPr="0029612C">
        <w:rPr>
          <w:rFonts w:ascii="Noto Serif" w:hAnsi="Noto Serif" w:cs="Noto Serif"/>
          <w:sz w:val="20"/>
          <w:szCs w:val="20"/>
          <w:lang w:val="en-US"/>
        </w:rPr>
        <w:t xml:space="preserve"> result in the imposition of a </w:t>
      </w:r>
      <w:r w:rsidRPr="0029612C">
        <w:rPr>
          <w:rFonts w:ascii="Noto Serif" w:hAnsi="Noto Serif" w:cs="Noto Serif"/>
          <w:sz w:val="20"/>
          <w:szCs w:val="20"/>
          <w:u w:val="single"/>
          <w:lang w:val="en-US"/>
        </w:rPr>
        <w:t>penalty of 5,000 rupees per month or part of the month</w:t>
      </w:r>
      <w:r w:rsidRPr="0029612C">
        <w:rPr>
          <w:rFonts w:ascii="Noto Serif" w:hAnsi="Noto Serif" w:cs="Noto Serif"/>
          <w:sz w:val="20"/>
          <w:szCs w:val="20"/>
          <w:lang w:val="en-US"/>
        </w:rPr>
        <w:t>, on the declarant until such time</w:t>
      </w:r>
      <w:r>
        <w:rPr>
          <w:rFonts w:ascii="Noto Serif" w:hAnsi="Noto Serif" w:cs="Noto Serif"/>
          <w:sz w:val="20"/>
          <w:szCs w:val="20"/>
          <w:lang w:val="en-US"/>
        </w:rPr>
        <w:t xml:space="preserve"> as</w:t>
      </w:r>
      <w:r w:rsidRPr="0029612C">
        <w:rPr>
          <w:rFonts w:ascii="Noto Serif" w:hAnsi="Noto Serif" w:cs="Noto Serif"/>
          <w:sz w:val="20"/>
          <w:szCs w:val="20"/>
          <w:lang w:val="en-US"/>
        </w:rPr>
        <w:t xml:space="preserve"> the declaration is submitted, provided that the total penalty payable shall not exceed </w:t>
      </w:r>
      <w:r w:rsidRPr="0029612C">
        <w:rPr>
          <w:rFonts w:ascii="Noto Serif" w:hAnsi="Noto Serif" w:cs="Noto Serif"/>
          <w:sz w:val="20"/>
          <w:szCs w:val="20"/>
          <w:u w:val="single"/>
          <w:lang w:val="en-US"/>
        </w:rPr>
        <w:t>50,000 rupees</w:t>
      </w:r>
      <w:r w:rsidRPr="0029612C">
        <w:rPr>
          <w:rFonts w:ascii="Noto Serif" w:hAnsi="Noto Serif" w:cs="Noto Serif"/>
          <w:sz w:val="20"/>
          <w:szCs w:val="20"/>
          <w:lang w:val="en-US"/>
        </w:rPr>
        <w:t>.</w:t>
      </w:r>
    </w:p>
    <w:p w14:paraId="72E799BB" w14:textId="77777777" w:rsidR="003B288B" w:rsidRPr="0029612C" w:rsidRDefault="003B288B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</w:p>
    <w:p w14:paraId="1DBE8141" w14:textId="5EE1F663" w:rsidR="004C6476" w:rsidRPr="0029612C" w:rsidRDefault="00572655" w:rsidP="00EE0E17">
      <w:pPr>
        <w:spacing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 w:rsidRPr="0029612C">
        <w:rPr>
          <w:rFonts w:ascii="Noto Serif" w:hAnsi="Noto Serif" w:cs="Noto Serif"/>
          <w:sz w:val="20"/>
          <w:szCs w:val="20"/>
          <w:lang w:val="en-US"/>
        </w:rPr>
        <w:t xml:space="preserve">For any </w:t>
      </w:r>
      <w:r w:rsidR="00CA21B6" w:rsidRPr="0029612C">
        <w:rPr>
          <w:rFonts w:ascii="Noto Serif" w:hAnsi="Noto Serif" w:cs="Noto Serif"/>
          <w:sz w:val="20"/>
          <w:szCs w:val="20"/>
          <w:lang w:val="en-US"/>
        </w:rPr>
        <w:t xml:space="preserve">further </w:t>
      </w:r>
      <w:r w:rsidR="003B288B">
        <w:rPr>
          <w:rFonts w:ascii="Noto Serif" w:hAnsi="Noto Serif" w:cs="Noto Serif"/>
          <w:sz w:val="20"/>
          <w:szCs w:val="20"/>
          <w:lang w:val="en-US"/>
        </w:rPr>
        <w:t>queries</w:t>
      </w:r>
      <w:r w:rsidR="00CA21B6" w:rsidRPr="0029612C">
        <w:rPr>
          <w:rFonts w:ascii="Noto Serif" w:hAnsi="Noto Serif" w:cs="Noto Serif"/>
          <w:sz w:val="20"/>
          <w:szCs w:val="20"/>
          <w:lang w:val="en-US"/>
        </w:rPr>
        <w:t xml:space="preserve">, </w:t>
      </w:r>
      <w:r w:rsidR="00EE0E17">
        <w:rPr>
          <w:rFonts w:ascii="Noto Serif" w:hAnsi="Noto Serif" w:cs="Noto Serif"/>
          <w:sz w:val="20"/>
          <w:szCs w:val="20"/>
          <w:lang w:val="en-US"/>
        </w:rPr>
        <w:t>you may wish to</w:t>
      </w:r>
      <w:r w:rsidR="00CA21B6" w:rsidRPr="0029612C">
        <w:rPr>
          <w:rFonts w:ascii="Noto Serif" w:hAnsi="Noto Serif" w:cs="Noto Serif"/>
          <w:sz w:val="20"/>
          <w:szCs w:val="20"/>
          <w:lang w:val="en-US"/>
        </w:rPr>
        <w:t xml:space="preserve"> contact the helpdesk </w:t>
      </w:r>
      <w:r w:rsidR="00A6616F">
        <w:rPr>
          <w:rFonts w:ascii="Noto Serif" w:hAnsi="Noto Serif" w:cs="Noto Serif"/>
          <w:sz w:val="20"/>
          <w:szCs w:val="20"/>
          <w:lang w:val="en-US"/>
        </w:rPr>
        <w:t>on</w:t>
      </w:r>
      <w:r w:rsidR="003B288B">
        <w:rPr>
          <w:rFonts w:ascii="Noto Serif" w:hAnsi="Noto Serif" w:cs="Noto Serif"/>
          <w:sz w:val="20"/>
          <w:szCs w:val="20"/>
          <w:lang w:val="en-US"/>
        </w:rPr>
        <w:t xml:space="preserve"> </w:t>
      </w:r>
      <w:r w:rsidR="00CA21B6" w:rsidRPr="0029612C">
        <w:rPr>
          <w:rFonts w:ascii="Noto Serif" w:hAnsi="Noto Serif" w:cs="Noto Serif"/>
          <w:sz w:val="20"/>
          <w:szCs w:val="20"/>
          <w:lang w:val="en-US"/>
        </w:rPr>
        <w:t>402</w:t>
      </w:r>
      <w:r w:rsidR="003B288B">
        <w:rPr>
          <w:rFonts w:ascii="Noto Serif" w:hAnsi="Noto Serif" w:cs="Noto Serif"/>
          <w:sz w:val="20"/>
          <w:szCs w:val="20"/>
          <w:lang w:val="en-US"/>
        </w:rPr>
        <w:t>-</w:t>
      </w:r>
      <w:r w:rsidR="00CA21B6" w:rsidRPr="0029612C">
        <w:rPr>
          <w:rFonts w:ascii="Noto Serif" w:hAnsi="Noto Serif" w:cs="Noto Serif"/>
          <w:sz w:val="20"/>
          <w:szCs w:val="20"/>
          <w:lang w:val="en-US"/>
        </w:rPr>
        <w:t>6662/6693/6977/697</w:t>
      </w:r>
      <w:r w:rsidR="003B288B">
        <w:rPr>
          <w:rFonts w:ascii="Noto Serif" w:hAnsi="Noto Serif" w:cs="Noto Serif"/>
          <w:sz w:val="20"/>
          <w:szCs w:val="20"/>
          <w:lang w:val="en-US"/>
        </w:rPr>
        <w:t>9</w:t>
      </w:r>
      <w:r w:rsidR="00CA21B6" w:rsidRPr="0029612C">
        <w:rPr>
          <w:rFonts w:ascii="Noto Serif" w:hAnsi="Noto Serif" w:cs="Noto Serif"/>
          <w:sz w:val="20"/>
          <w:szCs w:val="20"/>
          <w:lang w:val="en-US"/>
        </w:rPr>
        <w:t>.</w:t>
      </w:r>
    </w:p>
    <w:p w14:paraId="1CB9E4E0" w14:textId="77777777" w:rsidR="002754B9" w:rsidRDefault="002754B9" w:rsidP="00B657CF">
      <w:pPr>
        <w:jc w:val="right"/>
        <w:rPr>
          <w:rFonts w:ascii="Noto Serif" w:hAnsi="Noto Serif" w:cs="Noto Serif"/>
          <w:lang w:val="en-US"/>
        </w:rPr>
      </w:pPr>
    </w:p>
    <w:p w14:paraId="4F21780F" w14:textId="41EE4C8F" w:rsidR="00CF23FA" w:rsidRPr="00EE0E17" w:rsidRDefault="000B7CD6" w:rsidP="00B657CF">
      <w:pPr>
        <w:jc w:val="right"/>
        <w:rPr>
          <w:rFonts w:ascii="Noto Serif" w:hAnsi="Noto Serif" w:cs="Noto Serif"/>
          <w:b/>
          <w:bCs/>
          <w:sz w:val="20"/>
          <w:szCs w:val="20"/>
          <w:lang w:val="en-US"/>
        </w:rPr>
      </w:pPr>
      <w:r>
        <w:rPr>
          <w:rFonts w:ascii="Noto Serif" w:hAnsi="Noto Serif" w:cs="Noto Serif"/>
          <w:b/>
          <w:bCs/>
          <w:sz w:val="20"/>
          <w:szCs w:val="20"/>
          <w:lang w:val="en-US"/>
        </w:rPr>
        <w:t>07</w:t>
      </w:r>
      <w:r w:rsidR="00FF0278" w:rsidRPr="00EE0E17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 </w:t>
      </w:r>
      <w:r w:rsidR="002754B9" w:rsidRPr="00EE0E17">
        <w:rPr>
          <w:rFonts w:ascii="Noto Serif" w:hAnsi="Noto Serif" w:cs="Noto Serif"/>
          <w:b/>
          <w:bCs/>
          <w:sz w:val="20"/>
          <w:szCs w:val="20"/>
          <w:lang w:val="en-US"/>
        </w:rPr>
        <w:t xml:space="preserve">October </w:t>
      </w:r>
      <w:r w:rsidR="009E74FB" w:rsidRPr="00EE0E17">
        <w:rPr>
          <w:rFonts w:ascii="Noto Serif" w:hAnsi="Noto Serif" w:cs="Noto Serif"/>
          <w:b/>
          <w:bCs/>
          <w:sz w:val="20"/>
          <w:szCs w:val="20"/>
          <w:lang w:val="en-US"/>
        </w:rPr>
        <w:t>2024</w:t>
      </w:r>
    </w:p>
    <w:sectPr w:rsidR="00CF23FA" w:rsidRPr="00EE0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DA9"/>
    <w:multiLevelType w:val="hybridMultilevel"/>
    <w:tmpl w:val="E690C0E2"/>
    <w:lvl w:ilvl="0" w:tplc="536A655C">
      <w:start w:val="1"/>
      <w:numFmt w:val="lowerLetter"/>
      <w:lvlText w:val="%1)"/>
      <w:lvlJc w:val="left"/>
      <w:pPr>
        <w:ind w:left="1380" w:hanging="360"/>
      </w:pPr>
      <w:rPr>
        <w:rFonts w:ascii="Noto Serif" w:hAnsi="Noto Serif" w:cs="Noto Serif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530432F"/>
    <w:multiLevelType w:val="hybridMultilevel"/>
    <w:tmpl w:val="B1D6D336"/>
    <w:lvl w:ilvl="0" w:tplc="0E345606">
      <w:start w:val="1"/>
      <w:numFmt w:val="lowerLetter"/>
      <w:lvlText w:val="%1)"/>
      <w:lvlJc w:val="left"/>
      <w:pPr>
        <w:ind w:left="12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CC5C01"/>
    <w:multiLevelType w:val="hybridMultilevel"/>
    <w:tmpl w:val="C0C4BE8E"/>
    <w:lvl w:ilvl="0" w:tplc="C8448EE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2B4284"/>
    <w:multiLevelType w:val="hybridMultilevel"/>
    <w:tmpl w:val="0B16B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6E4E"/>
    <w:multiLevelType w:val="hybridMultilevel"/>
    <w:tmpl w:val="74149C86"/>
    <w:lvl w:ilvl="0" w:tplc="A32AEFC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0F3E"/>
    <w:multiLevelType w:val="multilevel"/>
    <w:tmpl w:val="57B2C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30B0AAF"/>
    <w:multiLevelType w:val="hybridMultilevel"/>
    <w:tmpl w:val="0F3E21B6"/>
    <w:lvl w:ilvl="0" w:tplc="620AB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CFF"/>
    <w:multiLevelType w:val="hybridMultilevel"/>
    <w:tmpl w:val="D0085B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7039"/>
    <w:multiLevelType w:val="hybridMultilevel"/>
    <w:tmpl w:val="59D24DF2"/>
    <w:lvl w:ilvl="0" w:tplc="F4AAE5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C0D84"/>
    <w:multiLevelType w:val="hybridMultilevel"/>
    <w:tmpl w:val="41AE078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0471762"/>
    <w:multiLevelType w:val="hybridMultilevel"/>
    <w:tmpl w:val="8FD2E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D21E2"/>
    <w:multiLevelType w:val="hybridMultilevel"/>
    <w:tmpl w:val="2CECE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955">
    <w:abstractNumId w:val="4"/>
  </w:num>
  <w:num w:numId="2" w16cid:durableId="759064483">
    <w:abstractNumId w:val="7"/>
  </w:num>
  <w:num w:numId="3" w16cid:durableId="979580970">
    <w:abstractNumId w:val="2"/>
  </w:num>
  <w:num w:numId="4" w16cid:durableId="1446001683">
    <w:abstractNumId w:val="0"/>
  </w:num>
  <w:num w:numId="5" w16cid:durableId="231936131">
    <w:abstractNumId w:val="5"/>
  </w:num>
  <w:num w:numId="6" w16cid:durableId="1938639421">
    <w:abstractNumId w:val="10"/>
  </w:num>
  <w:num w:numId="7" w16cid:durableId="1203783525">
    <w:abstractNumId w:val="8"/>
  </w:num>
  <w:num w:numId="8" w16cid:durableId="707951633">
    <w:abstractNumId w:val="11"/>
  </w:num>
  <w:num w:numId="9" w16cid:durableId="1492142063">
    <w:abstractNumId w:val="9"/>
  </w:num>
  <w:num w:numId="10" w16cid:durableId="1869484629">
    <w:abstractNumId w:val="1"/>
  </w:num>
  <w:num w:numId="11" w16cid:durableId="647823995">
    <w:abstractNumId w:val="3"/>
  </w:num>
  <w:num w:numId="12" w16cid:durableId="458884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E2"/>
    <w:rsid w:val="000747DB"/>
    <w:rsid w:val="00077AC6"/>
    <w:rsid w:val="000929FE"/>
    <w:rsid w:val="000B7CD6"/>
    <w:rsid w:val="000D5F50"/>
    <w:rsid w:val="000D7F88"/>
    <w:rsid w:val="000E55E2"/>
    <w:rsid w:val="00113A50"/>
    <w:rsid w:val="00135142"/>
    <w:rsid w:val="001413F4"/>
    <w:rsid w:val="00160347"/>
    <w:rsid w:val="00162C4E"/>
    <w:rsid w:val="001859C5"/>
    <w:rsid w:val="0019014C"/>
    <w:rsid w:val="001A163B"/>
    <w:rsid w:val="001E5737"/>
    <w:rsid w:val="00242C5C"/>
    <w:rsid w:val="002438DC"/>
    <w:rsid w:val="002754B9"/>
    <w:rsid w:val="00284DCC"/>
    <w:rsid w:val="0029612C"/>
    <w:rsid w:val="002F33F9"/>
    <w:rsid w:val="002F6B52"/>
    <w:rsid w:val="00327556"/>
    <w:rsid w:val="00330BB0"/>
    <w:rsid w:val="0034390B"/>
    <w:rsid w:val="00347F15"/>
    <w:rsid w:val="003644A0"/>
    <w:rsid w:val="00387924"/>
    <w:rsid w:val="00395A79"/>
    <w:rsid w:val="003B288B"/>
    <w:rsid w:val="003E02C2"/>
    <w:rsid w:val="003E139A"/>
    <w:rsid w:val="003F6ED1"/>
    <w:rsid w:val="0040427B"/>
    <w:rsid w:val="00413C65"/>
    <w:rsid w:val="00416A92"/>
    <w:rsid w:val="00424CC5"/>
    <w:rsid w:val="00434065"/>
    <w:rsid w:val="0046083F"/>
    <w:rsid w:val="00494F8D"/>
    <w:rsid w:val="004A7824"/>
    <w:rsid w:val="004A7C75"/>
    <w:rsid w:val="004C0D08"/>
    <w:rsid w:val="004C6476"/>
    <w:rsid w:val="004D4C99"/>
    <w:rsid w:val="004F11B6"/>
    <w:rsid w:val="004F2E4B"/>
    <w:rsid w:val="005172D9"/>
    <w:rsid w:val="00521BF3"/>
    <w:rsid w:val="00553BB1"/>
    <w:rsid w:val="00572655"/>
    <w:rsid w:val="00576761"/>
    <w:rsid w:val="0058390B"/>
    <w:rsid w:val="005F0EBC"/>
    <w:rsid w:val="0061424F"/>
    <w:rsid w:val="006535F2"/>
    <w:rsid w:val="00654F92"/>
    <w:rsid w:val="00655854"/>
    <w:rsid w:val="006A2933"/>
    <w:rsid w:val="006D5865"/>
    <w:rsid w:val="00702311"/>
    <w:rsid w:val="007232BA"/>
    <w:rsid w:val="00723DAD"/>
    <w:rsid w:val="007D49F3"/>
    <w:rsid w:val="007F4CBF"/>
    <w:rsid w:val="00811896"/>
    <w:rsid w:val="00883942"/>
    <w:rsid w:val="00891D59"/>
    <w:rsid w:val="008928D6"/>
    <w:rsid w:val="008B0A21"/>
    <w:rsid w:val="008B102E"/>
    <w:rsid w:val="008B42BB"/>
    <w:rsid w:val="008B42F1"/>
    <w:rsid w:val="008C3732"/>
    <w:rsid w:val="00941D9E"/>
    <w:rsid w:val="00967B5A"/>
    <w:rsid w:val="00971DC0"/>
    <w:rsid w:val="00991157"/>
    <w:rsid w:val="009C1900"/>
    <w:rsid w:val="009E74FB"/>
    <w:rsid w:val="00A018B0"/>
    <w:rsid w:val="00A07C90"/>
    <w:rsid w:val="00A6616F"/>
    <w:rsid w:val="00A870D3"/>
    <w:rsid w:val="00AB5AA7"/>
    <w:rsid w:val="00AF055B"/>
    <w:rsid w:val="00B307DB"/>
    <w:rsid w:val="00B330D5"/>
    <w:rsid w:val="00B657CF"/>
    <w:rsid w:val="00B71FC3"/>
    <w:rsid w:val="00B72B85"/>
    <w:rsid w:val="00B73F50"/>
    <w:rsid w:val="00BA3C90"/>
    <w:rsid w:val="00BA6565"/>
    <w:rsid w:val="00BD019F"/>
    <w:rsid w:val="00C11EFF"/>
    <w:rsid w:val="00C40D08"/>
    <w:rsid w:val="00C574D5"/>
    <w:rsid w:val="00C8664D"/>
    <w:rsid w:val="00C96EE1"/>
    <w:rsid w:val="00CA21B6"/>
    <w:rsid w:val="00CA3CC8"/>
    <w:rsid w:val="00CE3350"/>
    <w:rsid w:val="00CE5757"/>
    <w:rsid w:val="00CE70C5"/>
    <w:rsid w:val="00CF23FA"/>
    <w:rsid w:val="00D63350"/>
    <w:rsid w:val="00DA252A"/>
    <w:rsid w:val="00DB2F12"/>
    <w:rsid w:val="00DB3CFA"/>
    <w:rsid w:val="00DE1A10"/>
    <w:rsid w:val="00DE3C11"/>
    <w:rsid w:val="00E27875"/>
    <w:rsid w:val="00E52D8F"/>
    <w:rsid w:val="00E566CA"/>
    <w:rsid w:val="00E572E5"/>
    <w:rsid w:val="00E668AB"/>
    <w:rsid w:val="00EC6F70"/>
    <w:rsid w:val="00ED49BB"/>
    <w:rsid w:val="00EE0E17"/>
    <w:rsid w:val="00F00A83"/>
    <w:rsid w:val="00F1146F"/>
    <w:rsid w:val="00F423CA"/>
    <w:rsid w:val="00F64512"/>
    <w:rsid w:val="00F6675B"/>
    <w:rsid w:val="00F817F4"/>
    <w:rsid w:val="00F828AF"/>
    <w:rsid w:val="00F94171"/>
    <w:rsid w:val="00FA0F53"/>
    <w:rsid w:val="00FA7FAC"/>
    <w:rsid w:val="00FE1FE5"/>
    <w:rsid w:val="00FF0278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73E5"/>
  <w15:chartTrackingRefBased/>
  <w15:docId w15:val="{7ED9F93D-E8CF-4A37-A10C-2EFF27EB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5E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F3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5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64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@fcc.mu" TargetMode="External"/><Relationship Id="rId5" Type="http://schemas.openxmlformats.org/officeDocument/2006/relationships/hyperlink" Target="http://www.fcc.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MUDHOO</dc:creator>
  <cp:keywords/>
  <dc:description/>
  <cp:lastModifiedBy>Chandan MUDHOO</cp:lastModifiedBy>
  <cp:revision>3</cp:revision>
  <dcterms:created xsi:type="dcterms:W3CDTF">2024-10-07T10:22:00Z</dcterms:created>
  <dcterms:modified xsi:type="dcterms:W3CDTF">2024-10-07T12:10:00Z</dcterms:modified>
</cp:coreProperties>
</file>