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85376" w14:textId="77777777" w:rsidR="00CE45AE" w:rsidRPr="00FB4F1D" w:rsidRDefault="00CE45AE" w:rsidP="00CE45AE">
      <w:pPr>
        <w:rPr>
          <w:rFonts w:ascii="Noto Serif" w:hAnsi="Noto Serif" w:cs="Noto Serif"/>
          <w:b/>
          <w:lang w:val="en-US"/>
        </w:rPr>
      </w:pPr>
      <w:r w:rsidRPr="00714618">
        <w:rPr>
          <w:rFonts w:ascii="Noto Serif" w:hAnsi="Noto Serif" w:cs="Noto Serif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F5AE0" wp14:editId="65CE0828">
                <wp:simplePos x="0" y="0"/>
                <wp:positionH relativeFrom="margin">
                  <wp:align>center</wp:align>
                </wp:positionH>
                <wp:positionV relativeFrom="paragraph">
                  <wp:posOffset>-182880</wp:posOffset>
                </wp:positionV>
                <wp:extent cx="6134100" cy="381000"/>
                <wp:effectExtent l="0" t="0" r="0" b="0"/>
                <wp:wrapNone/>
                <wp:docPr id="7058811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C2A66" w14:textId="77777777" w:rsidR="00CE45AE" w:rsidRPr="00714618" w:rsidRDefault="00CE45AE" w:rsidP="00CE45AE">
                            <w:pPr>
                              <w:jc w:val="center"/>
                              <w:rPr>
                                <w:rFonts w:ascii="Noto Serif" w:hAnsi="Noto Serif" w:cs="Noto Serif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4618">
                              <w:rPr>
                                <w:rFonts w:ascii="Noto Serif" w:hAnsi="Noto Serif" w:cs="Noto Serif"/>
                                <w:b/>
                                <w:bCs/>
                                <w:sz w:val="28"/>
                                <w:szCs w:val="28"/>
                              </w:rPr>
                              <w:t>Communiqu</w:t>
                            </w:r>
                            <w:r>
                              <w:rPr>
                                <w:rFonts w:ascii="Noto Serif" w:hAnsi="Noto Serif" w:cs="Noto Serif"/>
                                <w:b/>
                                <w:bCs/>
                                <w:sz w:val="28"/>
                                <w:szCs w:val="28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F5AE0" id="Rectangle 4" o:spid="_x0000_s1026" style="position:absolute;margin-left:0;margin-top:-14.4pt;width:483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" fillcolor="black [3213]" stroked="f" strokeweight="1pt">
                <v:textbox>
                  <w:txbxContent>
                    <w:p w14:paraId="06BC2A66" w14:textId="77777777" w:rsidR="00CE45AE" w:rsidRPr="00714618" w:rsidRDefault="00CE45AE" w:rsidP="00CE45AE">
                      <w:pPr>
                        <w:jc w:val="center"/>
                        <w:rPr>
                          <w:rFonts w:ascii="Noto Serif" w:hAnsi="Noto Serif" w:cs="Noto Serif"/>
                          <w:b/>
                          <w:bCs/>
                          <w:sz w:val="28"/>
                          <w:szCs w:val="28"/>
                        </w:rPr>
                      </w:pPr>
                      <w:r w:rsidRPr="00714618">
                        <w:rPr>
                          <w:rFonts w:ascii="Noto Serif" w:hAnsi="Noto Serif" w:cs="Noto Serif"/>
                          <w:b/>
                          <w:bCs/>
                          <w:sz w:val="28"/>
                          <w:szCs w:val="28"/>
                        </w:rPr>
                        <w:t>Communiqu</w:t>
                      </w:r>
                      <w:r>
                        <w:rPr>
                          <w:rFonts w:ascii="Noto Serif" w:hAnsi="Noto Serif" w:cs="Noto Serif"/>
                          <w:b/>
                          <w:bCs/>
                          <w:sz w:val="28"/>
                          <w:szCs w:val="28"/>
                        </w:rPr>
                        <w:t>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B4F1D">
        <w:rPr>
          <w:rFonts w:ascii="Noto Serif" w:hAnsi="Noto Serif" w:cs="Noto Serif"/>
          <w:b/>
          <w:lang w:val="en-US"/>
        </w:rPr>
        <w:t>J</w:t>
      </w:r>
    </w:p>
    <w:p w14:paraId="728F8F3E" w14:textId="470978D5" w:rsidR="00CE45AE" w:rsidRDefault="00CE45AE" w:rsidP="00CE45AE">
      <w:pPr>
        <w:spacing w:before="240"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>The Communiqué dated 07 October 2024 of the Financial Crimes Commission</w:t>
      </w:r>
      <w:r w:rsidR="00824AD5">
        <w:rPr>
          <w:rFonts w:ascii="Noto Serif" w:hAnsi="Noto Serif" w:cs="Noto Serif"/>
          <w:sz w:val="20"/>
          <w:szCs w:val="20"/>
          <w:lang w:val="en-US"/>
        </w:rPr>
        <w:t xml:space="preserve"> (</w:t>
      </w:r>
      <w:r w:rsidR="00824AD5" w:rsidRPr="003E428F">
        <w:rPr>
          <w:rFonts w:ascii="Noto Serif" w:hAnsi="Noto Serif" w:cs="Noto Serif"/>
          <w:b/>
          <w:bCs/>
          <w:sz w:val="20"/>
          <w:szCs w:val="20"/>
          <w:lang w:val="en-US"/>
        </w:rPr>
        <w:t>“FCC”</w:t>
      </w:r>
      <w:r w:rsidR="00824AD5">
        <w:rPr>
          <w:rFonts w:ascii="Noto Serif" w:hAnsi="Noto Serif" w:cs="Noto Serif"/>
          <w:sz w:val="20"/>
          <w:szCs w:val="20"/>
          <w:lang w:val="en-US"/>
        </w:rPr>
        <w:t>)</w:t>
      </w:r>
      <w:r>
        <w:rPr>
          <w:rFonts w:ascii="Noto Serif" w:hAnsi="Noto Serif" w:cs="Noto Serif"/>
          <w:sz w:val="20"/>
          <w:szCs w:val="20"/>
          <w:lang w:val="en-US"/>
        </w:rPr>
        <w:t xml:space="preserve"> refers.</w:t>
      </w:r>
    </w:p>
    <w:p w14:paraId="087720F5" w14:textId="0316147D" w:rsidR="00CE45AE" w:rsidRDefault="00CE45AE" w:rsidP="00CE45AE">
      <w:pPr>
        <w:spacing w:before="240"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 xml:space="preserve">All outgoing members of the National Assembly are </w:t>
      </w:r>
      <w:r w:rsidRPr="00F63734">
        <w:rPr>
          <w:rFonts w:ascii="Noto Serif" w:hAnsi="Noto Serif" w:cs="Noto Serif"/>
          <w:sz w:val="20"/>
          <w:szCs w:val="20"/>
          <w:lang w:val="en-US"/>
        </w:rPr>
        <w:t>reminded</w:t>
      </w:r>
      <w:r>
        <w:rPr>
          <w:rFonts w:ascii="Noto Serif" w:hAnsi="Noto Serif" w:cs="Noto Serif"/>
          <w:sz w:val="20"/>
          <w:szCs w:val="20"/>
          <w:lang w:val="en-US"/>
        </w:rPr>
        <w:t xml:space="preserve"> that following the dissolution of the National Assembly, the deadline to submit their declarations under section 4(1)(c) of the Declaration of Assets (“</w:t>
      </w:r>
      <w:r w:rsidRPr="001949F7">
        <w:rPr>
          <w:rFonts w:ascii="Noto Serif" w:hAnsi="Noto Serif" w:cs="Noto Serif"/>
          <w:b/>
          <w:bCs/>
          <w:sz w:val="20"/>
          <w:szCs w:val="20"/>
          <w:lang w:val="en-US"/>
        </w:rPr>
        <w:t>DOA</w:t>
      </w:r>
      <w:r>
        <w:rPr>
          <w:rFonts w:ascii="Noto Serif" w:hAnsi="Noto Serif" w:cs="Noto Serif"/>
          <w:sz w:val="20"/>
          <w:szCs w:val="20"/>
          <w:lang w:val="en-US"/>
        </w:rPr>
        <w:t xml:space="preserve">”) Act 2018, as amended, is on </w:t>
      </w:r>
      <w:r w:rsidRPr="00CE45AE">
        <w:rPr>
          <w:rFonts w:ascii="Noto Serif" w:hAnsi="Noto Serif" w:cs="Noto Serif"/>
          <w:b/>
          <w:bCs/>
          <w:sz w:val="20"/>
          <w:szCs w:val="20"/>
          <w:lang w:val="en-US"/>
        </w:rPr>
        <w:t>Monday 04 November 2024</w:t>
      </w:r>
      <w:r>
        <w:rPr>
          <w:rFonts w:ascii="Noto Serif" w:hAnsi="Noto Serif" w:cs="Noto Serif"/>
          <w:sz w:val="20"/>
          <w:szCs w:val="20"/>
          <w:lang w:val="en-US"/>
        </w:rPr>
        <w:t>.</w:t>
      </w:r>
    </w:p>
    <w:p w14:paraId="14D3DD11" w14:textId="3CAFE74A" w:rsidR="00E262E5" w:rsidRDefault="008B5DF3" w:rsidP="00CE45AE">
      <w:pPr>
        <w:spacing w:before="240"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>As per section 7(1) of the DOA Act, the abovementioned declarations will be disclosed to the public in due course after the submission deadline.</w:t>
      </w:r>
    </w:p>
    <w:p w14:paraId="6CAE10C8" w14:textId="234F59D7" w:rsidR="008B5DF3" w:rsidRDefault="008B5DF3" w:rsidP="00CE45AE">
      <w:pPr>
        <w:spacing w:before="240"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 xml:space="preserve">The FCC also wishes to inform the public that </w:t>
      </w:r>
      <w:r w:rsidR="00824AD5">
        <w:rPr>
          <w:rFonts w:ascii="Noto Serif" w:hAnsi="Noto Serif" w:cs="Noto Serif"/>
          <w:sz w:val="20"/>
          <w:szCs w:val="20"/>
          <w:lang w:val="en-US"/>
        </w:rPr>
        <w:t xml:space="preserve">the compliance </w:t>
      </w:r>
      <w:r w:rsidR="003E428F">
        <w:rPr>
          <w:rFonts w:ascii="Noto Serif" w:hAnsi="Noto Serif" w:cs="Noto Serif"/>
          <w:sz w:val="20"/>
          <w:szCs w:val="20"/>
          <w:lang w:val="en-US"/>
        </w:rPr>
        <w:t>with</w:t>
      </w:r>
      <w:r w:rsidR="00824AD5">
        <w:rPr>
          <w:rFonts w:ascii="Noto Serif" w:hAnsi="Noto Serif" w:cs="Noto Serif"/>
          <w:sz w:val="20"/>
          <w:szCs w:val="20"/>
          <w:lang w:val="en-US"/>
        </w:rPr>
        <w:t xml:space="preserve"> the law is being monitored</w:t>
      </w:r>
      <w:r>
        <w:rPr>
          <w:rFonts w:ascii="Noto Serif" w:hAnsi="Noto Serif" w:cs="Noto Serif"/>
          <w:sz w:val="20"/>
          <w:szCs w:val="20"/>
          <w:lang w:val="en-US"/>
        </w:rPr>
        <w:t>.</w:t>
      </w:r>
    </w:p>
    <w:p w14:paraId="19CCCC0F" w14:textId="7D7F39A8" w:rsidR="00CE45AE" w:rsidRDefault="00CE45AE" w:rsidP="00CE45AE">
      <w:pPr>
        <w:spacing w:before="240" w:after="0" w:line="276" w:lineRule="auto"/>
        <w:jc w:val="both"/>
        <w:rPr>
          <w:rFonts w:ascii="Noto Serif" w:hAnsi="Noto Serif" w:cs="Noto Serif"/>
          <w:sz w:val="20"/>
          <w:szCs w:val="20"/>
          <w:lang w:val="en-US"/>
        </w:rPr>
      </w:pPr>
      <w:r>
        <w:rPr>
          <w:rFonts w:ascii="Noto Serif" w:hAnsi="Noto Serif" w:cs="Noto Serif"/>
          <w:sz w:val="20"/>
          <w:szCs w:val="20"/>
          <w:lang w:val="en-US"/>
        </w:rPr>
        <w:t>For any further queries, you may wish to contact the help desk of the DOA Unit on 402 6979/6662/6977/6693.</w:t>
      </w:r>
    </w:p>
    <w:p w14:paraId="7CA3BDCD" w14:textId="77777777" w:rsidR="00CE45AE" w:rsidRPr="00CE45AE" w:rsidRDefault="00CE45AE" w:rsidP="00CE45AE">
      <w:pPr>
        <w:tabs>
          <w:tab w:val="left" w:pos="1680"/>
        </w:tabs>
        <w:spacing w:after="0" w:line="276" w:lineRule="auto"/>
        <w:jc w:val="both"/>
        <w:rPr>
          <w:rFonts w:ascii="Noto Serif" w:hAnsi="Noto Serif" w:cs="Noto Serif"/>
          <w:b/>
          <w:bCs/>
          <w:sz w:val="20"/>
          <w:szCs w:val="20"/>
          <w:lang w:val="en-US"/>
        </w:rPr>
      </w:pPr>
    </w:p>
    <w:p w14:paraId="30B5620D" w14:textId="78EF2CF2" w:rsidR="00CE45AE" w:rsidRPr="00F82B87" w:rsidRDefault="008B5DF3" w:rsidP="00CE45AE">
      <w:pPr>
        <w:tabs>
          <w:tab w:val="left" w:pos="1680"/>
        </w:tabs>
        <w:spacing w:after="0" w:line="276" w:lineRule="auto"/>
        <w:jc w:val="both"/>
        <w:rPr>
          <w:rFonts w:ascii="Noto Serif" w:hAnsi="Noto Serif" w:cs="Noto Serif"/>
          <w:b/>
          <w:bCs/>
          <w:sz w:val="20"/>
          <w:szCs w:val="20"/>
        </w:rPr>
      </w:pPr>
      <w:r>
        <w:rPr>
          <w:rFonts w:ascii="Noto Serif" w:hAnsi="Noto Serif" w:cs="Noto Serif"/>
          <w:b/>
          <w:bCs/>
          <w:sz w:val="20"/>
          <w:szCs w:val="20"/>
        </w:rPr>
        <w:t xml:space="preserve">01 </w:t>
      </w:r>
      <w:proofErr w:type="spellStart"/>
      <w:r>
        <w:rPr>
          <w:rFonts w:ascii="Noto Serif" w:hAnsi="Noto Serif" w:cs="Noto Serif"/>
          <w:b/>
          <w:bCs/>
          <w:sz w:val="20"/>
          <w:szCs w:val="20"/>
        </w:rPr>
        <w:t>November</w:t>
      </w:r>
      <w:proofErr w:type="spellEnd"/>
      <w:r w:rsidR="00CE45AE" w:rsidRPr="00714618">
        <w:rPr>
          <w:rFonts w:ascii="Noto Serif" w:hAnsi="Noto Serif" w:cs="Noto Serif"/>
          <w:b/>
          <w:bCs/>
          <w:sz w:val="20"/>
          <w:szCs w:val="20"/>
        </w:rPr>
        <w:t xml:space="preserve"> 2024</w:t>
      </w:r>
    </w:p>
    <w:p w14:paraId="680530C1" w14:textId="77777777" w:rsidR="00D612E5" w:rsidRDefault="00D612E5"/>
    <w:sectPr w:rsidR="00D612E5" w:rsidSect="00CE45AE">
      <w:headerReference w:type="default" r:id="rId7"/>
      <w:headerReference w:type="first" r:id="rId8"/>
      <w:footerReference w:type="first" r:id="rId9"/>
      <w:pgSz w:w="11906" w:h="16838" w:code="9"/>
      <w:pgMar w:top="1800" w:right="1440" w:bottom="1440" w:left="1440" w:header="129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7594" w14:textId="77777777" w:rsidR="002C1883" w:rsidRDefault="002C1883">
      <w:pPr>
        <w:spacing w:after="0" w:line="240" w:lineRule="auto"/>
      </w:pPr>
      <w:r>
        <w:separator/>
      </w:r>
    </w:p>
  </w:endnote>
  <w:endnote w:type="continuationSeparator" w:id="0">
    <w:p w14:paraId="7F2385AE" w14:textId="77777777" w:rsidR="002C1883" w:rsidRDefault="002C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943060"/>
      <w:docPartObj>
        <w:docPartGallery w:val="Page Numbers (Bottom of Page)"/>
        <w:docPartUnique/>
      </w:docPartObj>
    </w:sdtPr>
    <w:sdtEndPr>
      <w:rPr>
        <w:rFonts w:ascii="Noto Serif" w:hAnsi="Noto Serif" w:cs="Noto Serif"/>
        <w:b/>
        <w:sz w:val="20"/>
      </w:rPr>
    </w:sdtEndPr>
    <w:sdtContent>
      <w:p w14:paraId="5527BC86" w14:textId="77777777" w:rsidR="004B63A9" w:rsidRPr="00714618" w:rsidRDefault="00000000" w:rsidP="008D7957">
        <w:pPr>
          <w:pStyle w:val="Footer"/>
          <w:jc w:val="right"/>
        </w:pPr>
        <w:r w:rsidRPr="00714618">
          <w:rPr>
            <w:noProof/>
          </w:rPr>
          <w:drawing>
            <wp:anchor distT="0" distB="0" distL="114300" distR="114300" simplePos="0" relativeHeight="251659264" behindDoc="0" locked="0" layoutInCell="1" allowOverlap="1" wp14:anchorId="7D16B01A" wp14:editId="6A6EC396">
              <wp:simplePos x="0" y="0"/>
              <wp:positionH relativeFrom="margin">
                <wp:align>left</wp:align>
              </wp:positionH>
              <wp:positionV relativeFrom="bottomMargin">
                <wp:posOffset>9525</wp:posOffset>
              </wp:positionV>
              <wp:extent cx="5903595" cy="33020"/>
              <wp:effectExtent l="0" t="0" r="1905" b="5080"/>
              <wp:wrapNone/>
              <wp:docPr id="102198374" name="Graphic 1021983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3595" cy="33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701"/>
        </w:tblGrid>
        <w:tr w:rsidR="008D7957" w:rsidRPr="00714618" w14:paraId="547A32B5" w14:textId="77777777" w:rsidTr="00A915F7">
          <w:tc>
            <w:tcPr>
              <w:tcW w:w="7650" w:type="dxa"/>
            </w:tcPr>
            <w:p w14:paraId="70784EE6" w14:textId="77777777" w:rsidR="004B63A9" w:rsidRPr="00714618" w:rsidRDefault="00000000" w:rsidP="008D7957">
              <w:pPr>
                <w:pStyle w:val="Footer"/>
                <w:rPr>
                  <w:rFonts w:ascii="Noto Serif" w:hAnsi="Noto Serif" w:cs="Noto Serif"/>
                  <w:i/>
                  <w:sz w:val="20"/>
                </w:rPr>
              </w:pPr>
              <w:r w:rsidRPr="00714618">
                <w:rPr>
                  <w:rFonts w:ascii="Noto Serif" w:hAnsi="Noto Serif" w:cs="Noto Serif"/>
                  <w:i/>
                  <w:color w:val="595959" w:themeColor="text1" w:themeTint="A6"/>
                  <w:sz w:val="18"/>
                </w:rPr>
                <w:t>Financial Crimes Commission</w:t>
              </w:r>
            </w:p>
          </w:tc>
          <w:tc>
            <w:tcPr>
              <w:tcW w:w="1701" w:type="dxa"/>
            </w:tcPr>
            <w:p w14:paraId="5277AED0" w14:textId="77777777" w:rsidR="004B63A9" w:rsidRPr="00714618" w:rsidRDefault="00000000" w:rsidP="008D7957">
              <w:pPr>
                <w:pStyle w:val="Footer"/>
                <w:jc w:val="right"/>
                <w:rPr>
                  <w:rFonts w:ascii="Noto Serif" w:hAnsi="Noto Serif" w:cs="Noto Serif"/>
                  <w:b/>
                  <w:sz w:val="20"/>
                </w:rPr>
              </w:pPr>
              <w:r w:rsidRPr="00714618">
                <w:rPr>
                  <w:rFonts w:ascii="Noto Serif" w:hAnsi="Noto Serif" w:cs="Noto Serif"/>
                  <w:b/>
                  <w:sz w:val="20"/>
                </w:rPr>
                <w:t>1</w:t>
              </w:r>
            </w:p>
          </w:tc>
        </w:tr>
      </w:tbl>
    </w:sdtContent>
  </w:sdt>
  <w:p w14:paraId="6EF83F17" w14:textId="77777777" w:rsidR="004B63A9" w:rsidRPr="00714618" w:rsidRDefault="004B6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0A6AD" w14:textId="77777777" w:rsidR="002C1883" w:rsidRDefault="002C1883">
      <w:pPr>
        <w:spacing w:after="0" w:line="240" w:lineRule="auto"/>
      </w:pPr>
      <w:r>
        <w:separator/>
      </w:r>
    </w:p>
  </w:footnote>
  <w:footnote w:type="continuationSeparator" w:id="0">
    <w:p w14:paraId="07676704" w14:textId="77777777" w:rsidR="002C1883" w:rsidRDefault="002C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DCFF" w14:textId="77777777" w:rsidR="004B63A9" w:rsidRPr="00714618" w:rsidRDefault="00000000" w:rsidP="00020464">
    <w:pPr>
      <w:pStyle w:val="Header"/>
      <w:tabs>
        <w:tab w:val="left" w:pos="6440"/>
      </w:tabs>
    </w:pPr>
    <w:r w:rsidRPr="00714618">
      <w:rPr>
        <w:rFonts w:ascii="Roboto" w:hAnsi="Roboto"/>
        <w:b/>
        <w:bCs/>
        <w:noProof/>
      </w:rPr>
      <w:drawing>
        <wp:anchor distT="0" distB="0" distL="114300" distR="114300" simplePos="0" relativeHeight="251660288" behindDoc="0" locked="0" layoutInCell="1" allowOverlap="0" wp14:anchorId="4649852A" wp14:editId="0D8687DC">
          <wp:simplePos x="0" y="0"/>
          <wp:positionH relativeFrom="margin">
            <wp:posOffset>-247650</wp:posOffset>
          </wp:positionH>
          <wp:positionV relativeFrom="topMargin">
            <wp:posOffset>336550</wp:posOffset>
          </wp:positionV>
          <wp:extent cx="2809240" cy="511175"/>
          <wp:effectExtent l="0" t="0" r="0" b="3175"/>
          <wp:wrapSquare wrapText="bothSides"/>
          <wp:docPr id="22926439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29015" name="Graphic 524290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24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00627"/>
      <w:docPartObj>
        <w:docPartGallery w:val="Page Numbers (Top of Page)"/>
        <w:docPartUnique/>
      </w:docPartObj>
    </w:sdtPr>
    <w:sdtContent>
      <w:p w14:paraId="6397BCB2" w14:textId="77777777" w:rsidR="004B63A9" w:rsidRPr="00714618" w:rsidRDefault="00000000">
        <w:pPr>
          <w:pStyle w:val="Header"/>
          <w:jc w:val="right"/>
        </w:pPr>
        <w:r w:rsidRPr="00714618">
          <w:fldChar w:fldCharType="begin"/>
        </w:r>
        <w:r w:rsidRPr="00714618">
          <w:instrText xml:space="preserve"> PAGE   \* MERGEFORMAT </w:instrText>
        </w:r>
        <w:r w:rsidRPr="00714618">
          <w:fldChar w:fldCharType="separate"/>
        </w:r>
        <w:r w:rsidRPr="00714618">
          <w:t>2</w:t>
        </w:r>
        <w:r w:rsidRPr="00714618">
          <w:fldChar w:fldCharType="end"/>
        </w:r>
      </w:p>
    </w:sdtContent>
  </w:sdt>
  <w:p w14:paraId="4F2EE2E9" w14:textId="77777777" w:rsidR="004B63A9" w:rsidRPr="00714618" w:rsidRDefault="004B63A9">
    <w:pPr>
      <w:pStyle w:val="Header"/>
    </w:pPr>
  </w:p>
  <w:p w14:paraId="54C3F436" w14:textId="77777777" w:rsidR="004B63A9" w:rsidRPr="00714618" w:rsidRDefault="004B63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284"/>
    <w:multiLevelType w:val="hybridMultilevel"/>
    <w:tmpl w:val="0B16B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0AAF"/>
    <w:multiLevelType w:val="hybridMultilevel"/>
    <w:tmpl w:val="0F3E21B6"/>
    <w:lvl w:ilvl="0" w:tplc="620AB6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3995">
    <w:abstractNumId w:val="0"/>
  </w:num>
  <w:num w:numId="2" w16cid:durableId="45888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AE"/>
    <w:rsid w:val="001A6FB4"/>
    <w:rsid w:val="002C1883"/>
    <w:rsid w:val="00351E78"/>
    <w:rsid w:val="003E428F"/>
    <w:rsid w:val="004B63A9"/>
    <w:rsid w:val="00824AD5"/>
    <w:rsid w:val="008B5DF3"/>
    <w:rsid w:val="00A3521A"/>
    <w:rsid w:val="00BE18FF"/>
    <w:rsid w:val="00C676D8"/>
    <w:rsid w:val="00C92F33"/>
    <w:rsid w:val="00CE45AE"/>
    <w:rsid w:val="00D559DB"/>
    <w:rsid w:val="00D612E5"/>
    <w:rsid w:val="00DC7A5A"/>
    <w:rsid w:val="00E2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3D22"/>
  <w15:chartTrackingRefBased/>
  <w15:docId w15:val="{B98E6D2B-317C-42E0-8006-96FC7180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45AE"/>
    <w:pPr>
      <w:spacing w:line="259" w:lineRule="auto"/>
    </w:pPr>
    <w:rPr>
      <w:kern w:val="0"/>
      <w:sz w:val="22"/>
      <w:szCs w:val="22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5A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E4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5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AE"/>
    <w:rPr>
      <w:kern w:val="0"/>
      <w:sz w:val="22"/>
      <w:szCs w:val="22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AE"/>
    <w:rPr>
      <w:kern w:val="0"/>
      <w:sz w:val="22"/>
      <w:szCs w:val="22"/>
      <w:lang w:val="fr-FR"/>
      <w14:ligatures w14:val="none"/>
    </w:rPr>
  </w:style>
  <w:style w:type="table" w:styleId="TableGrid">
    <w:name w:val="Table Grid"/>
    <w:basedOn w:val="TableNormal"/>
    <w:uiPriority w:val="39"/>
    <w:rsid w:val="00CE45AE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E45AE"/>
  </w:style>
  <w:style w:type="character" w:styleId="Hyperlink">
    <w:name w:val="Hyperlink"/>
    <w:basedOn w:val="DefaultParagraphFont"/>
    <w:uiPriority w:val="99"/>
    <w:unhideWhenUsed/>
    <w:rsid w:val="00CE45AE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824AD5"/>
    <w:pPr>
      <w:spacing w:after="0" w:line="240" w:lineRule="auto"/>
    </w:pPr>
    <w:rPr>
      <w:kern w:val="0"/>
      <w:sz w:val="22"/>
      <w:szCs w:val="22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Doordarshini Roopsoodha BUSGEET</dc:creator>
  <cp:keywords/>
  <dc:description/>
  <cp:lastModifiedBy>Doordarshini Roopsoodha BUSGEET</cp:lastModifiedBy>
  <cp:revision>2</cp:revision>
  <dcterms:created xsi:type="dcterms:W3CDTF">2024-11-01T17:49:00Z</dcterms:created>
  <dcterms:modified xsi:type="dcterms:W3CDTF">2024-11-01T17:49:00Z</dcterms:modified>
</cp:coreProperties>
</file>